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Filed by AIR Holdings Ltd.</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pursuant to Rule 425 under the Securities Act of 1933</w:t>
      </w:r>
    </w:p>
    <w:p>
      <w:pPr>
        <w:jc w:val="right"/>
        <w:spacing w:after="0"/>
        <w:rPr>
          <w:sz w:val="20"/>
          <w:szCs w:val="20"/>
          <w:color w:val="auto"/>
        </w:rPr>
      </w:pPr>
      <w:r>
        <w:rPr>
          <w:rFonts w:ascii="Times New Roman" w:cs="Times New Roman" w:eastAsia="Times New Roman" w:hAnsi="Times New Roman"/>
          <w:sz w:val="20"/>
          <w:szCs w:val="20"/>
          <w:b w:val="1"/>
          <w:bCs w:val="1"/>
          <w:color w:val="auto"/>
        </w:rPr>
        <w:t>and deemed filed pursuant to Rule 14a-12</w:t>
      </w:r>
    </w:p>
    <w:p>
      <w:pPr>
        <w:jc w:val="right"/>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Subject Companies: AIR Limited</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Cantor Equity Partners III, Inc., Commission File No. 001-42716</w:t>
      </w:r>
    </w:p>
    <w:p>
      <w:pPr>
        <w:jc w:val="right"/>
        <w:spacing w:after="0"/>
        <w:rPr>
          <w:sz w:val="20"/>
          <w:szCs w:val="20"/>
          <w:color w:val="auto"/>
        </w:rPr>
      </w:pPr>
      <w:r>
        <w:rPr>
          <w:rFonts w:ascii="Times New Roman" w:cs="Times New Roman" w:eastAsia="Times New Roman" w:hAnsi="Times New Roman"/>
          <w:sz w:val="20"/>
          <w:szCs w:val="20"/>
          <w:b w:val="1"/>
          <w:bCs w:val="1"/>
          <w:color w:val="auto"/>
        </w:rPr>
        <w:t>Date: March 19, 2026</w:t>
      </w:r>
    </w:p>
    <w:p>
      <w:pPr>
        <w:spacing w:after="0" w:line="200" w:lineRule="exact"/>
        <w:rPr>
          <w:sz w:val="24"/>
          <w:szCs w:val="24"/>
          <w:color w:val="auto"/>
        </w:rPr>
      </w:pPr>
    </w:p>
    <w:p>
      <w:pPr>
        <w:spacing w:after="0" w:line="237"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w:t>
      </w:r>
      <w:r>
        <w:rPr>
          <w:rFonts w:ascii="Times New Roman" w:cs="Times New Roman" w:eastAsia="Times New Roman" w:hAnsi="Times New Roman"/>
          <w:sz w:val="20"/>
          <w:szCs w:val="20"/>
          <w:u w:val="single" w:color="auto"/>
          <w:color w:val="auto"/>
        </w:rPr>
        <w:t>CAEP</w:t>
      </w:r>
      <w:r>
        <w:rPr>
          <w:rFonts w:ascii="Times New Roman" w:cs="Times New Roman" w:eastAsia="Times New Roman" w:hAnsi="Times New Roman"/>
          <w:sz w:val="20"/>
          <w:szCs w:val="20"/>
          <w:color w:val="auto"/>
        </w:rPr>
        <w:t>”), a Cayman Islands exempted company, and AIR Limited, a private limited company incorporated under the laws of Jersey (“</w:t>
      </w:r>
      <w:r>
        <w:rPr>
          <w:rFonts w:ascii="Times New Roman" w:cs="Times New Roman" w:eastAsia="Times New Roman" w:hAnsi="Times New Roman"/>
          <w:sz w:val="20"/>
          <w:szCs w:val="20"/>
          <w:u w:val="single" w:color="auto"/>
          <w:color w:val="auto"/>
        </w:rPr>
        <w:t>AIR</w:t>
      </w:r>
      <w:r>
        <w:rPr>
          <w:rFonts w:ascii="Times New Roman" w:cs="Times New Roman" w:eastAsia="Times New Roman" w:hAnsi="Times New Roman"/>
          <w:sz w:val="20"/>
          <w:szCs w:val="20"/>
          <w:color w:val="auto"/>
        </w:rPr>
        <w:t>”), entered into a Business Combination Agreement (the “</w:t>
      </w:r>
      <w:r>
        <w:rPr>
          <w:rFonts w:ascii="Times New Roman" w:cs="Times New Roman" w:eastAsia="Times New Roman" w:hAnsi="Times New Roman"/>
          <w:sz w:val="20"/>
          <w:szCs w:val="20"/>
          <w:u w:val="single" w:color="auto"/>
          <w:color w:val="auto"/>
        </w:rPr>
        <w:t>Business Combination Agreement</w:t>
      </w:r>
      <w:r>
        <w:rPr>
          <w:rFonts w:ascii="Times New Roman" w:cs="Times New Roman" w:eastAsia="Times New Roman" w:hAnsi="Times New Roman"/>
          <w:sz w:val="20"/>
          <w:szCs w:val="20"/>
          <w:color w:val="auto"/>
        </w:rPr>
        <w:t>”), with AIR Holdings Limited, a private limited company incorporated under the laws of Jersey (“</w:t>
      </w:r>
      <w:r>
        <w:rPr>
          <w:rFonts w:ascii="Times New Roman" w:cs="Times New Roman" w:eastAsia="Times New Roman" w:hAnsi="Times New Roman"/>
          <w:sz w:val="20"/>
          <w:szCs w:val="20"/>
          <w:u w:val="single" w:color="auto"/>
          <w:color w:val="auto"/>
        </w:rPr>
        <w:t>Pubco</w:t>
      </w:r>
      <w:r>
        <w:rPr>
          <w:rFonts w:ascii="Times New Roman" w:cs="Times New Roman" w:eastAsia="Times New Roman" w:hAnsi="Times New Roman"/>
          <w:sz w:val="20"/>
          <w:szCs w:val="20"/>
          <w:color w:val="auto"/>
        </w:rPr>
        <w:t>”), Genesis Cayman Merger Sub Limited, a Cayman Islands exempted company (“</w:t>
      </w:r>
      <w:r>
        <w:rPr>
          <w:rFonts w:ascii="Times New Roman" w:cs="Times New Roman" w:eastAsia="Times New Roman" w:hAnsi="Times New Roman"/>
          <w:sz w:val="20"/>
          <w:szCs w:val="20"/>
          <w:u w:val="single" w:color="auto"/>
          <w:color w:val="auto"/>
        </w:rPr>
        <w:t>Cayman Merger Sub</w:t>
      </w:r>
      <w:r>
        <w:rPr>
          <w:rFonts w:ascii="Times New Roman" w:cs="Times New Roman" w:eastAsia="Times New Roman" w:hAnsi="Times New Roman"/>
          <w:sz w:val="20"/>
          <w:szCs w:val="20"/>
          <w:color w:val="auto"/>
        </w:rPr>
        <w:t>”), and Genesis Jersey Merger Sub Limited, a private limited company incorporated under the laws of Jersey (“</w:t>
      </w:r>
      <w:r>
        <w:rPr>
          <w:rFonts w:ascii="Times New Roman" w:cs="Times New Roman" w:eastAsia="Times New Roman" w:hAnsi="Times New Roman"/>
          <w:sz w:val="20"/>
          <w:szCs w:val="20"/>
          <w:u w:val="single" w:color="auto"/>
          <w:color w:val="auto"/>
        </w:rPr>
        <w:t>Jersey Merger Sub</w:t>
      </w:r>
      <w:r>
        <w:rPr>
          <w:rFonts w:ascii="Times New Roman" w:cs="Times New Roman" w:eastAsia="Times New Roman" w:hAnsi="Times New Roman"/>
          <w:sz w:val="20"/>
          <w:szCs w:val="20"/>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The following is a transcript of an interview with Stuart Brazier, Chief Executive Officer of AIR, published on March 18, 2026 on Pulse 2.0.</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Advanced Inhalation Rituals: Interview With CEO Stuart Brazier About The Global Social Inhalation Leader</w:t>
      </w:r>
    </w:p>
    <w:p>
      <w:pPr>
        <w:spacing w:after="0" w:line="220" w:lineRule="exact"/>
        <w:rPr>
          <w:sz w:val="24"/>
          <w:szCs w:val="24"/>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Advanced Inhalation Rituals (AIR) is a leader in social inhalation and the world’s largest flavored hookah producer by volume, owning the iconic Al Fakher brand. Pulse 2.0 interviewed Advanced Inhalation Rituals CEO Stuart Brazier to learn more.</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Stuart Brazier’s Background</w:t>
      </w:r>
    </w:p>
    <w:p>
      <w:pPr>
        <w:spacing w:after="0" w:line="220" w:lineRule="exact"/>
        <w:rPr>
          <w:sz w:val="24"/>
          <w:szCs w:val="24"/>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You have a background in the tobacco industry, but also as an accountant – could you tell me more about how you arrived at AIR? Brazier said:</w:t>
      </w:r>
    </w:p>
    <w:p>
      <w:pPr>
        <w:spacing w:after="0" w:line="159" w:lineRule="exact"/>
        <w:rPr>
          <w:sz w:val="24"/>
          <w:szCs w:val="24"/>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“Before I joined Advanced Inhalation Rituals (AIR) in 2019, I held a variety of senior roles at British American Tobacco for more than two decades. There I started out in Finance and held a variety of Finance and General Management positions.”</w:t>
      </w:r>
    </w:p>
    <w:p>
      <w:pPr>
        <w:spacing w:after="0" w:line="159" w:lineRule="exact"/>
        <w:rPr>
          <w:sz w:val="24"/>
          <w:szCs w:val="24"/>
          <w:color w:val="auto"/>
        </w:rPr>
      </w:pPr>
    </w:p>
    <w:p>
      <w:pPr>
        <w:jc w:val="both"/>
        <w:ind w:right="340"/>
        <w:spacing w:after="0" w:line="246" w:lineRule="auto"/>
        <w:rPr>
          <w:sz w:val="20"/>
          <w:szCs w:val="20"/>
          <w:color w:val="auto"/>
        </w:rPr>
      </w:pPr>
      <w:r>
        <w:rPr>
          <w:rFonts w:ascii="Times New Roman" w:cs="Times New Roman" w:eastAsia="Times New Roman" w:hAnsi="Times New Roman"/>
          <w:sz w:val="20"/>
          <w:szCs w:val="20"/>
          <w:color w:val="auto"/>
        </w:rPr>
        <w:t>“I finished my stint at BAT as CFO for the company’s Europe and North Africa division, which had about £6 billion in net turnover and delivered profits of £2.3 billion. Following BAT, leveraging my experience in both the tobacco industry and finance, I set out to lead the social inhalation movement by joining AIR. I saw a tremendous opportunity for shisha products, or hookah, as I saw the category gaining momentum worldwide as consumers increasingly seek alternative, cleaner social consumption alternatives to traditional Western tobacco products.”</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Biggest Opportunities</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How would you define AIR, and where do you see the biggest opportunities? Brazier shared: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8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“Founded in 1999, AIR has established itself as a global innovative leader in social inhalation, with a multinational presence in more than 90 markets worldwide as of year-end 2025. We are focused on revolutionizing social inhalation by combining our heritage of superior flavors with breakthrough technology to meet evolving consumer demand across all regions. Hookah consumption has become a global lifestyle trend for both businesses and for consumers at their homes because at its core, it brings people together in the real, as opposed to the virtual, world. We see many opportunities in front of AIR and the hookah market more broadly, and we believe there are significant opportunities especially in the United States as hookah gains momentum as a social and lifestyle phenomenon.”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Core Products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What are the company's core products and features? Brazier explained:</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“AIR’s platform includes Al Fakher, the category’s most iconic brand; Hookah.com, one of the leading B2B online hookah e-commerce sites in the United States and OOKA, our innovative charcoal-free shisha device in addition to other complementary offerings.”</w:t>
      </w:r>
    </w:p>
    <w:p>
      <w:pPr>
        <w:spacing w:after="0" w:line="159"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9"/>
          <w:szCs w:val="19"/>
          <w:color w:val="auto"/>
        </w:rPr>
        <w:t>“Our OOKA product line is an innovative pod-based, charcoal-free electronic hookah device that removes some of the major barriers to traditional hookah, developed through extensive internal research and testing. OOKA doesn’t require burning charcoal to heat the product.”</w:t>
      </w:r>
    </w:p>
    <w:p>
      <w:pPr>
        <w:spacing w:after="0" w:line="13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“Our premier brand, Al Fakher, is recognized as one of the largest and most renowned shisha brands globally, particularly in the Middle East and the United States. It is celebrated for its quality and consistency, with three of its proprietary flavours consistently rank in the top five shisha flavours globally as of December 31, 2025 based on our own internal estimates. This is AIR’s flagship brand, and we just launched a collaboration with cultural icon Snoop Dogg on a premium collection of exclusive Al Fakher flavors.”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Evolution Of The Company’s Technology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 has the company's technology evolved since launching? Brazier noted:</w:t>
      </w:r>
    </w:p>
    <w:p>
      <w:pPr>
        <w:spacing w:after="0" w:line="21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“Since I took the helm, AIR has been focused on fortifying our IP moat and continuing to innovate, to protect our position as a leader in this growing market. Since 2019, we have invested more than $115 million in new product innovations, including Vant and OOKA, and now have, as of December 31, 2025, 175 granted and pending patents worldwide across 26 patent families. We continue to expand our premier brand, Al Fakher, into adjacent, sizeable growth categories including nicotine pouches as we continue to enhance our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Addressable Market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What total addressable market (TAM) size is the company pursuing? Brazier assessed:</w:t>
      </w:r>
    </w:p>
    <w:p>
      <w:pPr>
        <w:spacing w:after="0" w:line="216"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“We are targeting an ever-growing TAM as social inhalation continues to gain momentum as a global lifestyle trend and also as demand for vape products and other cleaner alternatives continue to replace combustible tobacco products. The estimated consumer market in flavored hookah molasses was $15-19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billion in 2025 according to industry estimates, and we believe we are positioned to capitalize on broad demographic appeal globally along with significant growth in western markets. AIR is experiencing strong momentum in the United States market, where we estimate we have more than 60% of the market share according to an industry assessment."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Differentiation From The Competition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What differentiates the company from its competition? Brazier affirmed:</w:t>
      </w:r>
    </w:p>
    <w:p>
      <w:pPr>
        <w:spacing w:after="0" w:line="216"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"Our scale in this growing industry gives us a considerable advantage as we have established an industry-leading portfolio of traditional hookah brands and patented, innovative technology and devices, supported by our own internal and published scientific research and complemented by our strong global footprint and digital capabilites. Al Fakher is the world’s largest hookah brand by sales volume as of December 31, 2025 based on our internal estimates and has become a household name.”</w:t>
      </w:r>
    </w:p>
    <w:p>
      <w:pPr>
        <w:spacing w:after="0" w:line="180" w:lineRule="exact"/>
        <w:rPr>
          <w:sz w:val="20"/>
          <w:szCs w:val="20"/>
          <w:color w:val="auto"/>
        </w:rPr>
      </w:pPr>
    </w:p>
    <w:p>
      <w:pPr>
        <w:ind w:right="800"/>
        <w:spacing w:after="0" w:line="295" w:lineRule="auto"/>
        <w:rPr>
          <w:sz w:val="20"/>
          <w:szCs w:val="20"/>
          <w:color w:val="auto"/>
        </w:rPr>
      </w:pPr>
      <w:r>
        <w:rPr>
          <w:rFonts w:ascii="Times New Roman" w:cs="Times New Roman" w:eastAsia="Times New Roman" w:hAnsi="Times New Roman"/>
          <w:sz w:val="19"/>
          <w:szCs w:val="19"/>
          <w:color w:val="auto"/>
        </w:rPr>
        <w:t>“In addition to our size, we have a robust go-to-market strategy supported by a sophisticated omni-channel model, including B2B partnerships, a coverage of retail and HORECA venues, and an advanced e-commerce engine targeting both D2C and B2B.”</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Company Goals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What are some of the company’s future goals? Brazier concluded:</w:t>
      </w:r>
    </w:p>
    <w:p>
      <w:pPr>
        <w:spacing w:after="0" w:line="21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“In November 2025, we announced plans to become a public company through a business combination with Cantor Equity Partners III at a pre-evaluation enterprise value of AIR Global of $1.749 billion. Through this transaction, we expect to list on the Nasdaq under the ticker “AIIR” in the first half of 2026, subject to customary closing conditions and approvals. We want to continue to capitalize on social inhalation’s increasing presence as a popular lifestyle phenomenon, and we believe a Nasdaq listing will raise our profile and provide financing flexibility to support our innovation and global expansion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F0E0B"/>
        </w:rPr>
        <w:t>About AIR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F0E0B"/>
        </w:rPr>
        <w:t>Launched in 1999 and headquartered in Dubai, AIR is a global innovation leader in social inhalation,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 w:name="page4"/>
    <w:bookmarkEnd w:id="3"/>
    <w:p>
      <w:pPr>
        <w:ind w:right="100"/>
        <w:spacing w:after="0" w:line="246" w:lineRule="auto"/>
        <w:rPr>
          <w:sz w:val="20"/>
          <w:szCs w:val="20"/>
          <w:color w:val="auto"/>
        </w:rPr>
      </w:pPr>
      <w:r>
        <w:rPr>
          <w:rFonts w:ascii="Times New Roman" w:cs="Times New Roman" w:eastAsia="Times New Roman" w:hAnsi="Times New Roman"/>
          <w:sz w:val="20"/>
          <w:szCs w:val="20"/>
          <w:color w:val="0F0E0B"/>
        </w:rPr>
        <w:t>a multinational presence in over 90 markets worldwide. Its portfolio of companies and assets includes Al Fakher, the world's leading hookah brand; Hookah.com, North America's number one B2B e-commerce platform for hookah and shisha by market share; and OOKA, highly innovative charcoal-free shisha device, among others. AIR's science program, conducted in partnership with independent accredited laboratories, enables the development of innovative products that combine centuries of tradition with cutting-edge technology to minimize harm and maximize enjoyment for millions around the world.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please visit </w:t>
      </w:r>
      <w:r>
        <w:rPr>
          <w:rFonts w:ascii="Times New Roman" w:cs="Times New Roman" w:eastAsia="Times New Roman" w:hAnsi="Times New Roman"/>
          <w:sz w:val="20"/>
          <w:szCs w:val="20"/>
          <w:u w:val="single" w:color="auto"/>
          <w:color w:val="0F0E0B"/>
        </w:rPr>
        <w:t>https://air.global/</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F0E0B"/>
        </w:rPr>
        <w:t>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F0E0B"/>
        </w:rPr>
        <w:t>Investor and Media Relations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F0E0B"/>
        </w:rPr>
        <w:t>ICR AIRglobal@icrinc.com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F0E0B"/>
        </w:rPr>
        <w:t>Additional Information and Where to Find It</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Pubco and CAEP intend to prepare, and Pubco intends to file with the Securities and Exchange Commission (the "SEC"), a Registration Statement on Form F-4 (as may be amended, the "Registration Statement"), which will include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 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 Investors and security holders will also be able to obtain copies of the Registration Statement and the Proxy Statement/Prospectus and all other documents filed or that will be filed with the SEC by CAEP and Pubco, without charge, once available, on the SEC's website at </w:t>
      </w:r>
      <w:r>
        <w:rPr>
          <w:rFonts w:ascii="Times New Roman" w:cs="Times New Roman" w:eastAsia="Times New Roman" w:hAnsi="Times New Roman"/>
          <w:sz w:val="19"/>
          <w:szCs w:val="19"/>
          <w:u w:val="single" w:color="auto"/>
          <w:color w:val="0F0E0B"/>
        </w:rPr>
        <w:t>www.sec.gov</w:t>
      </w:r>
      <w:r>
        <w:rPr>
          <w:rFonts w:ascii="Times New Roman" w:cs="Times New Roman" w:eastAsia="Times New Roman" w:hAnsi="Times New Roman"/>
          <w:sz w:val="19"/>
          <w:szCs w:val="19"/>
          <w:color w:val="auto"/>
        </w:rPr>
        <w:t xml:space="preserve"> or by directing a request to: Cantor Equity Partners III, Inc., 110 East 59th Street, New York, NY 10022; e-mail: CantorEquityPartners@cantor.com, or upon written request to AIR Limited, via email at investor@air.global, respectively.</w:t>
      </w:r>
    </w:p>
    <w:p>
      <w:pPr>
        <w:spacing w:after="0" w:line="200" w:lineRule="exact"/>
        <w:rPr>
          <w:sz w:val="20"/>
          <w:szCs w:val="20"/>
          <w:color w:val="auto"/>
        </w:rPr>
      </w:pPr>
    </w:p>
    <w:p>
      <w:pPr>
        <w:spacing w:after="0" w:line="228" w:lineRule="exact"/>
        <w:rPr>
          <w:sz w:val="20"/>
          <w:szCs w:val="20"/>
          <w:color w:val="auto"/>
        </w:rPr>
      </w:pPr>
    </w:p>
    <w:p>
      <w:pPr>
        <w:ind w:right="760"/>
        <w:spacing w:after="0" w:line="249" w:lineRule="auto"/>
        <w:rPr>
          <w:sz w:val="20"/>
          <w:szCs w:val="20"/>
          <w:color w:val="auto"/>
        </w:rPr>
      </w:pPr>
      <w:r>
        <w:rPr>
          <w:rFonts w:ascii="Times New Roman" w:cs="Times New Roman" w:eastAsia="Times New Roman" w:hAnsi="Times New Roman"/>
          <w:sz w:val="20"/>
          <w:szCs w:val="20"/>
          <w:color w:val="0F0E0B"/>
        </w:rPr>
        <w:t>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F0E0B"/>
        </w:rPr>
        <w:t>Participants in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20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0F0E0B"/>
        </w:rPr>
        <w:t>CAEP, Pubco, AIR and their respective directors, executive officers, and certain of their shareholders and other members of management and employees may be deemed under SEC rules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w:t>
      </w:r>
    </w:p>
    <w:p>
      <w:pPr>
        <w:spacing w:after="0" w:line="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0F0E0B"/>
        </w:rPr>
        <w:t>2025 and filed by CAEP with the SEC on June 26, 2025 (the "IPO Prospectus"). Additional information regarding the interests of the persons who may, under SEC rules, be deemed participants in the solicitation of proxies of CAEP's shareholders in connection with the Transactions, including the names and interests of CAEP's, Pubco's and AIR's directors and executive officers, will be set forth in the Registration Statement and Proxy Statement/Prospectus, which is expected to be filed by Pubco, AIR and CAEP, as applicable, with the SEC. Investors and security holders may obtain free copies of these documents as described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F0E0B"/>
        </w:rPr>
        <w:t>No Offer or Solicitation</w:t>
      </w:r>
    </w:p>
    <w:p>
      <w:pPr>
        <w:spacing w:after="0" w:line="2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0F0E0B"/>
        </w:rPr>
        <w:t>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F0E0B"/>
        </w:rPr>
        <w:t>Forward-Looking Statements</w:t>
      </w: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0F0E0B"/>
        </w:rPr>
        <w:t>This communication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the satisfaction of closing conditions to the Transactions, objectives of management for future operations of Pubco, competitive position, technological and market trends, future financial condition and performance and expected financial impacts of the Transactions,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but not limited to: the risk that the Transactions may not be completed in a timely manner or at all, which may adversely affect the price of CAEP's securities; the risk that the Transactions may not be completed by CAEP's business combination deadline; the failure by the parties to satisfy the conditions to the 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60"/>
        <w:spacing w:after="0" w:line="256" w:lineRule="auto"/>
        <w:rPr>
          <w:sz w:val="20"/>
          <w:szCs w:val="20"/>
          <w:color w:val="auto"/>
        </w:rPr>
      </w:pPr>
      <w:r>
        <w:rPr>
          <w:rFonts w:ascii="Times New Roman" w:cs="Times New Roman" w:eastAsia="Times New Roman" w:hAnsi="Times New Roman"/>
          <w:sz w:val="19"/>
          <w:szCs w:val="19"/>
          <w:color w:val="0F0E0B"/>
        </w:rPr>
        <w:t>shares or the Pubco ordinary shares; the lack of a third-party fairness opinion in determining whether or not to pursue the Transactions; the failure of Pubco 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 proceedings that may be instituted against Pubco, CAEP or others following announcement of the Transactions, and those risk factors discussed in documents that Pubco and/or CAEP filed, or that will be filed, with the SEC.</w:t>
      </w:r>
    </w:p>
    <w:p>
      <w:pPr>
        <w:spacing w:after="0" w:line="19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0F0E0B"/>
        </w:rPr>
        <w:t>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w:t>
      </w:r>
    </w:p>
    <w:p>
      <w:pPr>
        <w:spacing w:after="0" w:line="19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0F0E0B"/>
        </w:rPr>
        <w:t>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2026-03-19T06:54:24Z</dcterms:created>
  <dcterms:modified xsi:type="dcterms:W3CDTF">2026-03-19T06:54:24Z</dcterms:modified>
</cp:coreProperties>
</file>