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0"/>
              <w:jc w:val="center"/>
              <w:rPr>
                <w:b/>
              </w:rPr>
            </w:pPr>
            <w:r>
              <w:rPr>
                <w:b/>
              </w:rPr>
              <w:t xml:space="preserve">(Amendment No. </w:t>
            </w:r>
            <w:r>
              <w:rPr>
                <w:b/>
                <w:color w:val="0000FF"/>
              </w:rPr>
              <w:t>1</w:t>
            </w:r>
            <w:r>
              <w:rPr>
                <w:b/>
              </w:rPr>
              <w:t xml:space="preserve">)*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AIR Global PLC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Class A</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06/30/2026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88"/>
        <w:gridCol w:w="8017"/>
      </w:tblGrid>
      <w:tr>
        <w:trPr/>
        <w:tc>
          <w:tcPr>
            <w:tcW w:w="2188" w:type="dxa"/>
            <w:tcBorders/>
            <w:vAlign w:val="center"/>
          </w:tcPr>
          <w:p>
            <w:pPr>
              <w:pStyle w:val="TableContents"/>
              <w:bidi w:val="0"/>
              <w:spacing w:before="0" w:after="283"/>
              <w:jc w:val="left"/>
              <w:rPr/>
            </w:pPr>
            <w:r>
              <w:rPr/>
              <w:t>1</w:t>
            </w:r>
          </w:p>
        </w:tc>
        <w:tc>
          <w:tcPr>
            <w:tcW w:w="8017"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Harraden Circle Investments, LLC</w:t>
            </w:r>
          </w:p>
        </w:tc>
      </w:tr>
      <w:tr>
        <w:trPr/>
        <w:tc>
          <w:tcPr>
            <w:tcW w:w="2188" w:type="dxa"/>
            <w:tcBorders/>
            <w:vAlign w:val="center"/>
          </w:tcPr>
          <w:p>
            <w:pPr>
              <w:pStyle w:val="TableContents"/>
              <w:bidi w:val="0"/>
              <w:spacing w:before="0" w:after="283"/>
              <w:jc w:val="left"/>
              <w:rPr/>
            </w:pPr>
            <w:r>
              <w:rPr/>
              <w:t>2</w:t>
            </w:r>
          </w:p>
        </w:tc>
        <w:tc>
          <w:tcPr>
            <w:tcW w:w="8017"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88" w:type="dxa"/>
            <w:tcBorders/>
            <w:vAlign w:val="center"/>
          </w:tcPr>
          <w:p>
            <w:pPr>
              <w:pStyle w:val="TableContents"/>
              <w:bidi w:val="0"/>
              <w:spacing w:before="0" w:after="283"/>
              <w:jc w:val="left"/>
              <w:rPr/>
            </w:pPr>
            <w:r>
              <w:rPr/>
              <w:t>3</w:t>
            </w:r>
          </w:p>
        </w:tc>
        <w:tc>
          <w:tcPr>
            <w:tcW w:w="8017" w:type="dxa"/>
            <w:tcBorders/>
            <w:vAlign w:val="center"/>
          </w:tcPr>
          <w:p>
            <w:pPr>
              <w:pStyle w:val="TableContents"/>
              <w:bidi w:val="0"/>
              <w:spacing w:before="0" w:after="283"/>
              <w:jc w:val="left"/>
              <w:rPr/>
            </w:pPr>
            <w:r>
              <w:rPr/>
              <w:t>Sec Use Only</w:t>
            </w:r>
          </w:p>
        </w:tc>
      </w:tr>
      <w:tr>
        <w:trPr/>
        <w:tc>
          <w:tcPr>
            <w:tcW w:w="2188" w:type="dxa"/>
            <w:tcBorders/>
            <w:vAlign w:val="center"/>
          </w:tcPr>
          <w:p>
            <w:pPr>
              <w:pStyle w:val="TableContents"/>
              <w:bidi w:val="0"/>
              <w:spacing w:before="0" w:after="283"/>
              <w:jc w:val="left"/>
              <w:rPr/>
            </w:pPr>
            <w:r>
              <w:rPr/>
              <w:t>4</w:t>
            </w:r>
          </w:p>
        </w:tc>
        <w:tc>
          <w:tcPr>
            <w:tcW w:w="8017"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88"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4,998,421.00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4,998,421.00</w:t>
                  </w:r>
                </w:p>
              </w:tc>
            </w:tr>
          </w:tbl>
          <w:p>
            <w:pPr>
              <w:pStyle w:val="TableContents"/>
              <w:bidi w:val="0"/>
              <w:spacing w:before="0" w:after="283"/>
              <w:jc w:val="left"/>
              <w:rPr/>
            </w:pPr>
            <w:r>
              <w:rPr/>
            </w:r>
          </w:p>
        </w:tc>
        <w:tc>
          <w:tcPr>
            <w:tcW w:w="8017" w:type="dxa"/>
            <w:tcBorders/>
            <w:vAlign w:val="center"/>
          </w:tcPr>
          <w:p>
            <w:pPr>
              <w:pStyle w:val="TableContents"/>
              <w:bidi w:val="0"/>
              <w:spacing w:before="0" w:after="283"/>
              <w:jc w:val="left"/>
              <w:rPr>
                <w:sz w:val="4"/>
                <w:szCs w:val="4"/>
              </w:rPr>
            </w:pPr>
            <w:r>
              <w:rPr>
                <w:sz w:val="4"/>
                <w:szCs w:val="4"/>
              </w:rPr>
            </w:r>
          </w:p>
        </w:tc>
      </w:tr>
      <w:tr>
        <w:trPr/>
        <w:tc>
          <w:tcPr>
            <w:tcW w:w="2188" w:type="dxa"/>
            <w:tcBorders/>
            <w:vAlign w:val="center"/>
          </w:tcPr>
          <w:p>
            <w:pPr>
              <w:pStyle w:val="TableContents"/>
              <w:bidi w:val="0"/>
              <w:spacing w:before="0" w:after="283"/>
              <w:jc w:val="left"/>
              <w:rPr/>
            </w:pPr>
            <w:r>
              <w:rPr/>
              <w:t>9</w:t>
            </w:r>
          </w:p>
        </w:tc>
        <w:tc>
          <w:tcPr>
            <w:tcW w:w="8017"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4,998,421.00</w:t>
            </w:r>
          </w:p>
        </w:tc>
      </w:tr>
      <w:tr>
        <w:trPr/>
        <w:tc>
          <w:tcPr>
            <w:tcW w:w="2188" w:type="dxa"/>
            <w:tcBorders/>
            <w:vAlign w:val="center"/>
          </w:tcPr>
          <w:p>
            <w:pPr>
              <w:pStyle w:val="TableContents"/>
              <w:bidi w:val="0"/>
              <w:spacing w:before="0" w:after="283"/>
              <w:jc w:val="left"/>
              <w:rPr/>
            </w:pPr>
            <w:r>
              <w:rPr/>
              <w:t>10</w:t>
            </w:r>
          </w:p>
        </w:tc>
        <w:tc>
          <w:tcPr>
            <w:tcW w:w="8017"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88" w:type="dxa"/>
            <w:tcBorders/>
            <w:vAlign w:val="center"/>
          </w:tcPr>
          <w:p>
            <w:pPr>
              <w:pStyle w:val="TableContents"/>
              <w:bidi w:val="0"/>
              <w:spacing w:before="0" w:after="283"/>
              <w:jc w:val="left"/>
              <w:rPr/>
            </w:pPr>
            <w:r>
              <w:rPr/>
              <w:t>11</w:t>
            </w:r>
          </w:p>
        </w:tc>
        <w:tc>
          <w:tcPr>
            <w:tcW w:w="8017"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188" w:type="dxa"/>
            <w:tcBorders/>
            <w:vAlign w:val="center"/>
          </w:tcPr>
          <w:p>
            <w:pPr>
              <w:pStyle w:val="TableContents"/>
              <w:bidi w:val="0"/>
              <w:spacing w:before="0" w:after="283"/>
              <w:jc w:val="left"/>
              <w:rPr/>
            </w:pPr>
            <w:r>
              <w:rPr/>
              <w:t>12</w:t>
            </w:r>
          </w:p>
        </w:tc>
        <w:tc>
          <w:tcPr>
            <w:tcW w:w="8017"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 IA</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95"/>
        <w:gridCol w:w="8010"/>
      </w:tblGrid>
      <w:tr>
        <w:trPr/>
        <w:tc>
          <w:tcPr>
            <w:tcW w:w="2195" w:type="dxa"/>
            <w:tcBorders/>
            <w:vAlign w:val="center"/>
          </w:tcPr>
          <w:p>
            <w:pPr>
              <w:pStyle w:val="TableContents"/>
              <w:bidi w:val="0"/>
              <w:spacing w:before="0" w:after="283"/>
              <w:jc w:val="left"/>
              <w:rPr/>
            </w:pPr>
            <w:r>
              <w:rPr/>
              <w:t>1</w:t>
            </w:r>
          </w:p>
        </w:tc>
        <w:tc>
          <w:tcPr>
            <w:tcW w:w="8010"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Frederick V. Fortmiller, Jr.</w:t>
            </w:r>
          </w:p>
        </w:tc>
      </w:tr>
      <w:tr>
        <w:trPr/>
        <w:tc>
          <w:tcPr>
            <w:tcW w:w="2195" w:type="dxa"/>
            <w:tcBorders/>
            <w:vAlign w:val="center"/>
          </w:tcPr>
          <w:p>
            <w:pPr>
              <w:pStyle w:val="TableContents"/>
              <w:bidi w:val="0"/>
              <w:spacing w:before="0" w:after="283"/>
              <w:jc w:val="left"/>
              <w:rPr/>
            </w:pPr>
            <w:r>
              <w:rPr/>
              <w:t>2</w:t>
            </w:r>
          </w:p>
        </w:tc>
        <w:tc>
          <w:tcPr>
            <w:tcW w:w="80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xml:space="preserve">  (b) </w:t>
            </w:r>
          </w:p>
        </w:tc>
      </w:tr>
      <w:tr>
        <w:trPr/>
        <w:tc>
          <w:tcPr>
            <w:tcW w:w="2195" w:type="dxa"/>
            <w:tcBorders/>
            <w:vAlign w:val="center"/>
          </w:tcPr>
          <w:p>
            <w:pPr>
              <w:pStyle w:val="TableContents"/>
              <w:bidi w:val="0"/>
              <w:spacing w:before="0" w:after="283"/>
              <w:jc w:val="left"/>
              <w:rPr/>
            </w:pPr>
            <w:r>
              <w:rPr/>
              <w:t>3</w:t>
            </w:r>
          </w:p>
        </w:tc>
        <w:tc>
          <w:tcPr>
            <w:tcW w:w="8010" w:type="dxa"/>
            <w:tcBorders/>
            <w:vAlign w:val="center"/>
          </w:tcPr>
          <w:p>
            <w:pPr>
              <w:pStyle w:val="TableContents"/>
              <w:bidi w:val="0"/>
              <w:spacing w:before="0" w:after="283"/>
              <w:jc w:val="left"/>
              <w:rPr/>
            </w:pPr>
            <w:r>
              <w:rPr/>
              <w:t>Sec Use Only</w:t>
            </w:r>
          </w:p>
        </w:tc>
      </w:tr>
      <w:tr>
        <w:trPr/>
        <w:tc>
          <w:tcPr>
            <w:tcW w:w="2195" w:type="dxa"/>
            <w:tcBorders/>
            <w:vAlign w:val="center"/>
          </w:tcPr>
          <w:p>
            <w:pPr>
              <w:pStyle w:val="TableContents"/>
              <w:bidi w:val="0"/>
              <w:spacing w:before="0" w:after="283"/>
              <w:jc w:val="left"/>
              <w:rPr/>
            </w:pPr>
            <w:r>
              <w:rPr/>
              <w:t>4</w:t>
            </w:r>
          </w:p>
        </w:tc>
        <w:tc>
          <w:tcPr>
            <w:tcW w:w="80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95"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4,998,421.00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4,998,421.00</w:t>
                  </w:r>
                </w:p>
              </w:tc>
            </w:tr>
          </w:tbl>
          <w:p>
            <w:pPr>
              <w:pStyle w:val="TableContents"/>
              <w:bidi w:val="0"/>
              <w:spacing w:before="0" w:after="283"/>
              <w:jc w:val="left"/>
              <w:rPr/>
            </w:pPr>
            <w:r>
              <w:rPr/>
            </w:r>
          </w:p>
        </w:tc>
        <w:tc>
          <w:tcPr>
            <w:tcW w:w="8010" w:type="dxa"/>
            <w:tcBorders/>
            <w:vAlign w:val="center"/>
          </w:tcPr>
          <w:p>
            <w:pPr>
              <w:pStyle w:val="TableContents"/>
              <w:bidi w:val="0"/>
              <w:spacing w:before="0" w:after="283"/>
              <w:jc w:val="left"/>
              <w:rPr>
                <w:sz w:val="4"/>
                <w:szCs w:val="4"/>
              </w:rPr>
            </w:pPr>
            <w:r>
              <w:rPr>
                <w:sz w:val="4"/>
                <w:szCs w:val="4"/>
              </w:rPr>
            </w:r>
          </w:p>
        </w:tc>
      </w:tr>
      <w:tr>
        <w:trPr/>
        <w:tc>
          <w:tcPr>
            <w:tcW w:w="2195" w:type="dxa"/>
            <w:tcBorders/>
            <w:vAlign w:val="center"/>
          </w:tcPr>
          <w:p>
            <w:pPr>
              <w:pStyle w:val="TableContents"/>
              <w:bidi w:val="0"/>
              <w:spacing w:before="0" w:after="283"/>
              <w:jc w:val="left"/>
              <w:rPr/>
            </w:pPr>
            <w:r>
              <w:rPr/>
              <w:t>9</w:t>
            </w:r>
          </w:p>
        </w:tc>
        <w:tc>
          <w:tcPr>
            <w:tcW w:w="80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4,998,421.00</w:t>
            </w:r>
          </w:p>
        </w:tc>
      </w:tr>
      <w:tr>
        <w:trPr/>
        <w:tc>
          <w:tcPr>
            <w:tcW w:w="2195" w:type="dxa"/>
            <w:tcBorders/>
            <w:vAlign w:val="center"/>
          </w:tcPr>
          <w:p>
            <w:pPr>
              <w:pStyle w:val="TableContents"/>
              <w:bidi w:val="0"/>
              <w:spacing w:before="0" w:after="283"/>
              <w:jc w:val="left"/>
              <w:rPr/>
            </w:pPr>
            <w:r>
              <w:rPr/>
              <w:t>10</w:t>
            </w:r>
          </w:p>
        </w:tc>
        <w:tc>
          <w:tcPr>
            <w:tcW w:w="8010"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95" w:type="dxa"/>
            <w:tcBorders/>
            <w:vAlign w:val="center"/>
          </w:tcPr>
          <w:p>
            <w:pPr>
              <w:pStyle w:val="TableContents"/>
              <w:bidi w:val="0"/>
              <w:spacing w:before="0" w:after="283"/>
              <w:jc w:val="left"/>
              <w:rPr/>
            </w:pPr>
            <w:r>
              <w:rPr/>
              <w:t>11</w:t>
            </w:r>
          </w:p>
        </w:tc>
        <w:tc>
          <w:tcPr>
            <w:tcW w:w="8010"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3.12 % </w:t>
            </w:r>
          </w:p>
        </w:tc>
      </w:tr>
      <w:tr>
        <w:trPr/>
        <w:tc>
          <w:tcPr>
            <w:tcW w:w="2195" w:type="dxa"/>
            <w:tcBorders/>
            <w:vAlign w:val="center"/>
          </w:tcPr>
          <w:p>
            <w:pPr>
              <w:pStyle w:val="TableContents"/>
              <w:bidi w:val="0"/>
              <w:spacing w:before="0" w:after="283"/>
              <w:jc w:val="left"/>
              <w:rPr/>
            </w:pPr>
            <w:r>
              <w:rPr/>
              <w:t>12</w:t>
            </w:r>
          </w:p>
        </w:tc>
        <w:tc>
          <w:tcPr>
            <w:tcW w:w="80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HC, IN</w:t>
            </w:r>
          </w:p>
        </w:tc>
      </w:tr>
    </w:tbl>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4" w:name="item1to9"/>
      <w:bookmarkStart w:id="15" w:name="item1to9"/>
      <w:bookmarkEnd w:id="15"/>
    </w:p>
    <w:tbl>
      <w:tblPr>
        <w:tblW w:w="10205" w:type="dxa"/>
        <w:jc w:val="left"/>
        <w:tblInd w:w="0" w:type="dxa"/>
        <w:tblLayout w:type="fixed"/>
        <w:tblCellMar>
          <w:top w:w="28" w:type="dxa"/>
          <w:left w:w="28" w:type="dxa"/>
          <w:bottom w:w="28" w:type="dxa"/>
          <w:right w:w="28" w:type="dxa"/>
        </w:tblCellMar>
      </w:tblPr>
      <w:tblGrid>
        <w:gridCol w:w="1144"/>
        <w:gridCol w:w="8906"/>
        <w:gridCol w:w="155"/>
      </w:tblGrid>
      <w:tr>
        <w:trPr/>
        <w:tc>
          <w:tcPr>
            <w:tcW w:w="1144" w:type="dxa"/>
            <w:tcBorders/>
            <w:vAlign w:val="center"/>
          </w:tcPr>
          <w:p>
            <w:pPr>
              <w:pStyle w:val="TableContents"/>
              <w:bidi w:val="0"/>
              <w:spacing w:before="0" w:after="283"/>
              <w:jc w:val="left"/>
              <w:rPr/>
            </w:pPr>
            <w:r>
              <w:rPr/>
              <w:t>Item 1.</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issuer: </w:t>
            </w:r>
          </w:p>
          <w:p>
            <w:pPr>
              <w:pStyle w:val="TableContents"/>
              <w:bidi w:val="0"/>
              <w:spacing w:before="0" w:after="0"/>
              <w:jc w:val="left"/>
              <w:rPr/>
            </w:pPr>
            <w:r>
              <w:rPr/>
              <w:t>AIR Global PLC</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FESTIVAL OFFICE TOWER, PO BOX 117613, DUBAI, United Arab Emirates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2.</w:t>
            </w:r>
          </w:p>
        </w:tc>
        <w:tc>
          <w:tcPr>
            <w:tcW w:w="8906"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Name of person filing: </w:t>
            </w:r>
          </w:p>
          <w:p>
            <w:pPr>
              <w:pStyle w:val="TableContents"/>
              <w:bidi w:val="0"/>
              <w:spacing w:before="0" w:after="0"/>
              <w:jc w:val="left"/>
              <w:rPr/>
            </w:pPr>
            <w:r>
              <w:rPr/>
              <w:t xml:space="preserve">This Statement is filed on behalf of Harraden Circle Investments, LLC ("Harraden Adviser") and Frederick V. Fortmiller, Jr. ("Mr. Fortmiller") (collectively, the "Reporting Persons"). This Statement relates to Shares (as defined herein) held for the accounts of Harraden Circle Investors, LP ("Harraden Fund"), Harraden Circle Special Opportunities, LP ("Harraden Special Op Fund"), Harraden Circle Strategic Investments, LP ("Harraden Strategic Fund"), and Harraden Circle Concentrated, LP ("Harraden Concentrated Fund"). Harraden Adviser serves as investment manager to Harraden Fund, Harraden Special Op Fund, Harraden Strategic Fund, Harraden Concentrated Fund, and other high net worth individuals and, in such capacity, exercises voting and dispositive power over the Shares reported herein. Mr. Fortmiller is the managing member of Harraden Adviser.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885 Third Avenue, Suite 2600B, New York, NY 10022</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jc w:val="left"/>
              <w:rPr/>
            </w:pPr>
            <w:r>
              <w:rPr/>
              <w:t xml:space="preserve">Citizenship: </w:t>
            </w:r>
          </w:p>
          <w:p>
            <w:pPr>
              <w:pStyle w:val="TableContents"/>
              <w:bidi w:val="0"/>
              <w:spacing w:before="0" w:after="0"/>
              <w:jc w:val="left"/>
              <w:rPr/>
            </w:pPr>
            <w:r>
              <w:rPr/>
              <w:t>Harraden Adviser is a Delaware limited liability company. Mr. Fortmiller is a citizen of the United States of America.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Class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3.</w:t>
            </w:r>
          </w:p>
        </w:tc>
        <w:tc>
          <w:tcPr>
            <w:tcW w:w="8906"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(d)</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(e)</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(f)</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(g)</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(h)</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(j)</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(k)</w:t>
            </w:r>
          </w:p>
        </w:tc>
        <w:tc>
          <w:tcPr>
            <w:tcW w:w="8906" w:type="dxa"/>
            <w:tcBorders/>
            <w:vAlign w:val="center"/>
          </w:tcPr>
          <w:p>
            <w:pPr>
              <w:pStyle w:val="TableContents"/>
              <w:bidi w:val="0"/>
              <w:spacing w:before="0" w:after="283"/>
              <w:jc w:val="left"/>
              <w:rPr/>
            </w:pP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9061" w:type="dxa"/>
            <w:gridSpan w:val="2"/>
            <w:tcBorders/>
            <w:vAlign w:val="center"/>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4.</w:t>
            </w:r>
          </w:p>
        </w:tc>
        <w:tc>
          <w:tcPr>
            <w:tcW w:w="8906"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(a)</w:t>
            </w:r>
          </w:p>
        </w:tc>
        <w:tc>
          <w:tcPr>
            <w:tcW w:w="8906"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4,998,421</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(b)</w:t>
            </w:r>
          </w:p>
        </w:tc>
        <w:tc>
          <w:tcPr>
            <w:tcW w:w="8906"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3.12  %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(c)</w:t>
            </w:r>
          </w:p>
        </w:tc>
        <w:tc>
          <w:tcPr>
            <w:tcW w:w="8906"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4,998,421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4,998,421</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5.</w:t>
            </w:r>
          </w:p>
        </w:tc>
        <w:tc>
          <w:tcPr>
            <w:tcW w:w="8906"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r>
              <w:rPr/>
              <w:t xml:space="preserve">    </w:t>
            </w:r>
            <w:r>
              <w:rPr/>
              <w:t xml:space="preserve">Ownership of 5 percent or less of a class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6.</w:t>
            </w:r>
          </w:p>
        </w:tc>
        <w:tc>
          <w:tcPr>
            <w:tcW w:w="8906"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Certain funds identified in Item 2(a) have the right to receive any dividends from, or the proceeds from the sale of, the securities reported herein.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7.</w:t>
            </w:r>
          </w:p>
        </w:tc>
        <w:tc>
          <w:tcPr>
            <w:tcW w:w="8906"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both"/>
              <w:rPr/>
            </w:pPr>
            <w:r>
              <w:rPr/>
              <w:t xml:space="preserve">If a parent holding company has filed this schedule, pursuant to Rule 13d-1(b)(ii)(G), so indicate under Item 3(g) and attach an exhibit stating the identity and the Item 3 classification of the relevant subsidiary. If a parent holding company has filed this schedule pursuant to Rule 13d-1(c) or Rule 13d-1(d), attach an exhibit stating the identification of the relevant subsidiary. </w:t>
            </w:r>
          </w:p>
          <w:p>
            <w:pPr>
              <w:pStyle w:val="TableContents"/>
              <w:bidi w:val="0"/>
              <w:jc w:val="left"/>
              <w:rPr/>
            </w:pPr>
            <w:r>
              <w:rPr/>
            </w:r>
          </w:p>
          <w:p>
            <w:pPr>
              <w:pStyle w:val="TableContents"/>
              <w:bidi w:val="0"/>
              <w:spacing w:before="0" w:after="0"/>
              <w:jc w:val="left"/>
              <w:rPr/>
            </w:pPr>
            <w:r>
              <w:rPr/>
              <w:t>See disclosure in Item 2 hereof.</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8.</w:t>
            </w:r>
          </w:p>
        </w:tc>
        <w:tc>
          <w:tcPr>
            <w:tcW w:w="8906"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Item 9.</w:t>
            </w:r>
          </w:p>
        </w:tc>
        <w:tc>
          <w:tcPr>
            <w:tcW w:w="8906"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44" w:type="dxa"/>
            <w:tcBorders/>
            <w:vAlign w:val="center"/>
          </w:tcPr>
          <w:p>
            <w:pPr>
              <w:pStyle w:val="TableContents"/>
              <w:bidi w:val="0"/>
              <w:spacing w:before="0" w:after="283"/>
              <w:jc w:val="left"/>
              <w:rPr/>
            </w:pPr>
            <w:r>
              <w:rPr/>
              <w:t> </w:t>
            </w:r>
          </w:p>
        </w:tc>
        <w:tc>
          <w:tcPr>
            <w:tcW w:w="8906"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6" w:name="certifications"/>
      <w:bookmarkStart w:id="17" w:name="certifications"/>
      <w:bookmarkEnd w:id="17"/>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8" w:name="signatureInfo"/>
      <w:bookmarkStart w:id="19" w:name="signatureInfo"/>
      <w:bookmarkEnd w:id="19"/>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7126" w:type="dxa"/>
        <w:jc w:val="left"/>
        <w:tblInd w:w="0" w:type="dxa"/>
        <w:tblLayout w:type="fixed"/>
        <w:tblCellMar>
          <w:top w:w="28" w:type="dxa"/>
          <w:left w:w="28" w:type="dxa"/>
          <w:bottom w:w="28" w:type="dxa"/>
          <w:right w:w="28" w:type="dxa"/>
        </w:tblCellMar>
      </w:tblPr>
      <w:tblGrid>
        <w:gridCol w:w="3563"/>
        <w:gridCol w:w="3563"/>
      </w:tblGrid>
      <w:tr>
        <w:trPr/>
        <w:tc>
          <w:tcPr>
            <w:tcW w:w="3563" w:type="dxa"/>
            <w:tcBorders/>
            <w:vAlign w:val="center"/>
          </w:tcPr>
          <w:p>
            <w:pPr>
              <w:pStyle w:val="TableContents"/>
              <w:bidi w:val="0"/>
              <w:spacing w:before="0" w:after="0"/>
              <w:jc w:val="left"/>
              <w:rPr/>
            </w:pPr>
            <w:r>
              <w:rPr/>
              <w:t> </w:t>
            </w:r>
          </w:p>
          <w:tbl>
            <w:tblPr>
              <w:tblW w:w="3451" w:type="dxa"/>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0"/>
                    <w:jc w:val="left"/>
                    <w:rPr/>
                  </w:pPr>
                  <w:r>
                    <w:rPr/>
                    <w:t>Harraden Circle Investments, LLC</w:t>
                  </w:r>
                </w:p>
              </w:tc>
            </w:tr>
          </w:tbl>
          <w:p>
            <w:pPr>
              <w:pStyle w:val="TableContents"/>
              <w:bidi w:val="0"/>
              <w:spacing w:before="0" w:after="283"/>
              <w:jc w:val="left"/>
              <w:rPr/>
            </w:pPr>
            <w:r>
              <w:rPr/>
            </w:r>
          </w:p>
        </w:tc>
        <w:tc>
          <w:tcPr>
            <w:tcW w:w="3563"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78"/>
        <w:gridCol w:w="4327"/>
      </w:tblGrid>
      <w:tr>
        <w:trPr/>
        <w:tc>
          <w:tcPr>
            <w:tcW w:w="587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/s/ Frederick V. Fortmiller, Jr.</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Frederick V. Fortmiller, Jr., managing member</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27" w:type="dxa"/>
            <w:tcBorders/>
            <w:vAlign w:val="center"/>
          </w:tcPr>
          <w:p>
            <w:pPr>
              <w:pStyle w:val="TableContents"/>
              <w:bidi w:val="0"/>
              <w:spacing w:before="0" w:after="283"/>
              <w:jc w:val="left"/>
              <w:rPr>
                <w:sz w:val="4"/>
                <w:szCs w:val="4"/>
              </w:rPr>
            </w:pPr>
            <w:r>
              <w:rPr>
                <w:sz w:val="4"/>
                <w:szCs w:val="4"/>
              </w:rPr>
            </w:r>
          </w:p>
        </w:tc>
      </w:tr>
    </w:tbl>
    <w:tbl>
      <w:tblPr>
        <w:tblW w:w="5684" w:type="dxa"/>
        <w:jc w:val="left"/>
        <w:tblInd w:w="0" w:type="dxa"/>
        <w:tblLayout w:type="fixed"/>
        <w:tblCellMar>
          <w:top w:w="28" w:type="dxa"/>
          <w:left w:w="28" w:type="dxa"/>
          <w:bottom w:w="28" w:type="dxa"/>
          <w:right w:w="28" w:type="dxa"/>
        </w:tblCellMar>
      </w:tblPr>
      <w:tblGrid>
        <w:gridCol w:w="2842"/>
        <w:gridCol w:w="2842"/>
      </w:tblGrid>
      <w:tr>
        <w:trPr/>
        <w:tc>
          <w:tcPr>
            <w:tcW w:w="2842" w:type="dxa"/>
            <w:tcBorders/>
            <w:vAlign w:val="center"/>
          </w:tcPr>
          <w:p>
            <w:pPr>
              <w:pStyle w:val="TableContents"/>
              <w:bidi w:val="0"/>
              <w:spacing w:before="0" w:after="0"/>
              <w:jc w:val="left"/>
              <w:rPr/>
            </w:pPr>
            <w:r>
              <w:rPr/>
              <w:t> </w:t>
            </w:r>
          </w:p>
          <w:tbl>
            <w:tblPr>
              <w:tblW w:w="2701" w:type="dxa"/>
              <w:jc w:val="left"/>
              <w:tblInd w:w="0" w:type="dxa"/>
              <w:tblLayout w:type="fixed"/>
              <w:tblCellMar>
                <w:top w:w="28" w:type="dxa"/>
                <w:left w:w="28" w:type="dxa"/>
                <w:bottom w:w="28" w:type="dxa"/>
                <w:right w:w="28" w:type="dxa"/>
              </w:tblCellMar>
            </w:tblPr>
            <w:tblGrid>
              <w:gridCol w:w="2701"/>
            </w:tblGrid>
            <w:tr>
              <w:trPr/>
              <w:tc>
                <w:tcPr>
                  <w:tcW w:w="2701" w:type="dxa"/>
                  <w:tcBorders/>
                  <w:vAlign w:val="center"/>
                </w:tcPr>
                <w:p>
                  <w:pPr>
                    <w:pStyle w:val="TableContents"/>
                    <w:bidi w:val="0"/>
                    <w:spacing w:before="0" w:after="0"/>
                    <w:jc w:val="left"/>
                    <w:rPr/>
                  </w:pPr>
                  <w:r>
                    <w:rPr/>
                    <w:t>Frederick V. Fortmiller, Jr.</w:t>
                  </w:r>
                </w:p>
              </w:tc>
            </w:tr>
          </w:tbl>
          <w:p>
            <w:pPr>
              <w:pStyle w:val="TableContents"/>
              <w:bidi w:val="0"/>
              <w:spacing w:before="0" w:after="283"/>
              <w:jc w:val="left"/>
              <w:rPr/>
            </w:pPr>
            <w:r>
              <w:rPr/>
            </w:r>
          </w:p>
        </w:tc>
        <w:tc>
          <w:tcPr>
            <w:tcW w:w="284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86"/>
        <w:gridCol w:w="4319"/>
      </w:tblGrid>
      <w:tr>
        <w:trPr/>
        <w:tc>
          <w:tcPr>
            <w:tcW w:w="5886"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76"/>
              <w:gridCol w:w="9029"/>
            </w:tblGrid>
            <w:tr>
              <w:trPr/>
              <w:tc>
                <w:tcPr>
                  <w:tcW w:w="1176" w:type="dxa"/>
                  <w:tcBorders/>
                  <w:vAlign w:val="center"/>
                </w:tcPr>
                <w:p>
                  <w:pPr>
                    <w:pStyle w:val="TableContents"/>
                    <w:bidi w:val="0"/>
                    <w:spacing w:before="0" w:after="283"/>
                    <w:jc w:val="left"/>
                    <w:rPr/>
                  </w:pPr>
                  <w:r>
                    <w:rPr/>
                    <w:t>Signature:</w:t>
                  </w:r>
                </w:p>
              </w:tc>
              <w:tc>
                <w:tcPr>
                  <w:tcW w:w="9029" w:type="dxa"/>
                  <w:tcBorders/>
                  <w:vAlign w:val="center"/>
                </w:tcPr>
                <w:p>
                  <w:pPr>
                    <w:pStyle w:val="TableContents"/>
                    <w:bidi w:val="0"/>
                    <w:spacing w:before="0" w:after="283"/>
                    <w:jc w:val="left"/>
                    <w:rPr/>
                  </w:pPr>
                  <w:r>
                    <w:rPr/>
                    <w:t>/s/ Frederick V. Fortmiller, Jr.</w:t>
                  </w:r>
                </w:p>
              </w:tc>
            </w:tr>
            <w:tr>
              <w:trPr/>
              <w:tc>
                <w:tcPr>
                  <w:tcW w:w="1176" w:type="dxa"/>
                  <w:tcBorders/>
                  <w:vAlign w:val="center"/>
                </w:tcPr>
                <w:p>
                  <w:pPr>
                    <w:pStyle w:val="TableContents"/>
                    <w:bidi w:val="0"/>
                    <w:spacing w:before="0" w:after="283"/>
                    <w:jc w:val="left"/>
                    <w:rPr/>
                  </w:pPr>
                  <w:r>
                    <w:rPr/>
                    <w:t>Name/Title:</w:t>
                  </w:r>
                </w:p>
              </w:tc>
              <w:tc>
                <w:tcPr>
                  <w:tcW w:w="9029" w:type="dxa"/>
                  <w:tcBorders/>
                  <w:vAlign w:val="center"/>
                </w:tcPr>
                <w:p>
                  <w:pPr>
                    <w:pStyle w:val="TableContents"/>
                    <w:bidi w:val="0"/>
                    <w:spacing w:before="0" w:after="283"/>
                    <w:jc w:val="left"/>
                    <w:rPr/>
                  </w:pPr>
                  <w:r>
                    <w:rPr/>
                    <w:t>Frederick V. Fortmiller, Jr.</w:t>
                  </w:r>
                </w:p>
              </w:tc>
            </w:tr>
            <w:tr>
              <w:trPr/>
              <w:tc>
                <w:tcPr>
                  <w:tcW w:w="1176" w:type="dxa"/>
                  <w:tcBorders/>
                  <w:vAlign w:val="center"/>
                </w:tcPr>
                <w:p>
                  <w:pPr>
                    <w:pStyle w:val="TableContents"/>
                    <w:bidi w:val="0"/>
                    <w:spacing w:before="0" w:after="283"/>
                    <w:jc w:val="left"/>
                    <w:rPr/>
                  </w:pPr>
                  <w:r>
                    <w:rPr/>
                    <w:t>Date:</w:t>
                  </w:r>
                </w:p>
              </w:tc>
              <w:tc>
                <w:tcPr>
                  <w:tcW w:w="9029" w:type="dxa"/>
                  <w:tcBorders/>
                  <w:vAlign w:val="center"/>
                </w:tcPr>
                <w:p>
                  <w:pPr>
                    <w:pStyle w:val="TableContents"/>
                    <w:bidi w:val="0"/>
                    <w:spacing w:before="0" w:after="283"/>
                    <w:jc w:val="left"/>
                    <w:rPr/>
                  </w:pPr>
                  <w:r>
                    <w:rPr/>
                    <w:t>08/14/2026</w:t>
                  </w:r>
                </w:p>
              </w:tc>
            </w:tr>
          </w:tbl>
          <w:p>
            <w:pPr>
              <w:pStyle w:val="TableContents"/>
              <w:bidi w:val="0"/>
              <w:spacing w:before="0" w:after="283"/>
              <w:jc w:val="left"/>
              <w:rPr/>
            </w:pPr>
            <w:r>
              <w:rPr/>
            </w:r>
          </w:p>
        </w:tc>
        <w:tc>
          <w:tcPr>
            <w:tcW w:w="4319"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before="0" w:after="283"/>
        <w:jc w:val="left"/>
        <w:rPr/>
      </w:pPr>
      <w:r>
        <w:rPr>
          <w:b/>
          <w:color w:val="000000"/>
        </w:rPr>
        <w:t>Comments accompanying signature:</w:t>
      </w:r>
      <w:r>
        <w:rPr/>
        <w:t xml:space="preserve">  This Schedule 13G amends the Schedule 13G filed under Rule 13d-1(c) to remove the reporting persons who, after an internal reorganization effective June 30, 2026, are no longer beneficial owners of the securities reported herein and to change the Rule under which this Schedule 13G is filed to Rule 13d-1(b), because the remaining reporting persons qualify to file Schedule 13G under Rule 13d-1(b). Explanatory Note: This Amendment is being filed to report that the Reporting Persons have ceased to be the beneficial owners of more than five percent of the outstanding shares of Class A common stock of the "Issuer". This Amendment constitutes an exit filing for the Reporting Persons. Explanatory Note: This issuer was formerly Cantor Equity Partners III Inc., formerly CUSIP G1828A108. </w:t>
      </w:r>
    </w:p>
    <w:p>
      <w:pPr>
        <w:pStyle w:val="TextBody"/>
        <w:bidi w:val="0"/>
        <w:spacing w:before="32" w:after="283"/>
        <w:jc w:val="center"/>
        <w:rPr/>
      </w:pPr>
      <w:bookmarkStart w:id="20" w:name="ck0001910592-ex99_a.htm"/>
      <w:bookmarkStart w:id="21" w:name="ksck0001910592ex99_a"/>
      <w:bookmarkEnd w:id="20"/>
      <w:bookmarkEnd w:id="21"/>
      <w:r>
        <w:rPr/>
        <w:t> </w:t>
      </w:r>
      <w:r>
        <w:br w:type="page"/>
      </w:r>
    </w:p>
    <w:p>
      <w:pPr>
        <w:pStyle w:val="TextBody"/>
        <w:bidi w:val="0"/>
        <w:spacing w:before="32" w:after="283"/>
        <w:jc w:val="center"/>
        <w:rPr/>
      </w:pPr>
      <w:r>
        <w:rPr/>
        <w:t> </w:t>
      </w:r>
    </w:p>
    <w:p>
      <w:pPr>
        <w:pStyle w:val="TextBody"/>
        <w:bidi w:val="0"/>
        <w:spacing w:before="32" w:after="283"/>
        <w:jc w:val="center"/>
        <w:rPr/>
      </w:pPr>
      <w:r>
        <w:rPr/>
        <w:t> </w:t>
      </w:r>
    </w:p>
    <w:p>
      <w:pPr>
        <w:pStyle w:val="TextBody"/>
        <w:bidi w:val="0"/>
        <w:spacing w:before="32" w:after="283"/>
        <w:jc w:val="center"/>
        <w:rPr>
          <w:rFonts w:ascii="Times New Roman" w:hAnsi="Times New Roman"/>
          <w:color w:val="000000"/>
          <w:sz w:val="18"/>
        </w:rPr>
      </w:pPr>
      <w:r>
        <w:rPr>
          <w:rFonts w:ascii="Times New Roman" w:hAnsi="Times New Roman"/>
          <w:color w:val="000000"/>
          <w:sz w:val="18"/>
        </w:rPr>
        <w:t>EXHIBIT A</w:t>
      </w:r>
    </w:p>
    <w:p>
      <w:pPr>
        <w:pStyle w:val="TextBody"/>
        <w:bidi w:val="0"/>
        <w:spacing w:before="32" w:after="283"/>
        <w:jc w:val="center"/>
        <w:rPr/>
      </w:pPr>
      <w:r>
        <w:rPr/>
        <w:t> </w:t>
      </w:r>
    </w:p>
    <w:p>
      <w:pPr>
        <w:pStyle w:val="TextBody"/>
        <w:bidi w:val="0"/>
        <w:spacing w:before="32" w:after="283"/>
        <w:jc w:val="center"/>
        <w:rPr>
          <w:rFonts w:ascii="Times New Roman" w:hAnsi="Times New Roman"/>
          <w:color w:val="000000"/>
          <w:sz w:val="18"/>
        </w:rPr>
      </w:pPr>
      <w:r>
        <w:rPr>
          <w:rFonts w:ascii="Times New Roman" w:hAnsi="Times New Roman"/>
          <w:color w:val="000000"/>
          <w:sz w:val="18"/>
        </w:rPr>
        <w:t>JOINT FILING AGREEMENT</w:t>
      </w:r>
    </w:p>
    <w:p>
      <w:pPr>
        <w:pStyle w:val="TextBody"/>
        <w:bidi w:val="0"/>
        <w:spacing w:before="1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The undersigned hereby agree that the statement on Schedule 13G with respect to the AIR Global PLC is, and any amendments thereto (including amendments on Schedule 13D) signed by each of the undersigned shall be, filed on behalf of each of us pursuant to and in accordance with the provisions of Rule 13d-1(k) under the Securities Exchange Act of 1934, as amended.</w:t>
      </w:r>
    </w:p>
    <w:p>
      <w:pPr>
        <w:pStyle w:val="TextBody"/>
        <w:bidi w:val="0"/>
        <w:spacing w:before="19"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Date: August 14, 2026</w:t>
      </w:r>
    </w:p>
    <w:p>
      <w:pPr>
        <w:pStyle w:val="TextBody"/>
        <w:bidi w:val="0"/>
        <w:spacing w:before="17" w:after="283"/>
        <w:jc w:val="left"/>
        <w:rPr/>
      </w:pPr>
      <w:r>
        <w:rPr/>
        <w:t> </w:t>
      </w:r>
    </w:p>
    <w:p>
      <w:pPr>
        <w:pStyle w:val="TextBody"/>
        <w:bidi w:val="0"/>
        <w:spacing w:before="10" w:after="283"/>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HARRADEN CIRCLE INVESTMENTS, LLC</w:t>
      </w:r>
    </w:p>
    <w:p>
      <w:pPr>
        <w:pStyle w:val="TextBody"/>
        <w:bidi w:val="0"/>
        <w:jc w:val="left"/>
        <w:rPr>
          <w:rFonts w:ascii="Times New Roman" w:hAnsi="Times New Roman"/>
          <w:color w:val="000000"/>
          <w:sz w:val="18"/>
        </w:rPr>
      </w:pPr>
      <w:r>
        <w:rPr>
          <w:rFonts w:ascii="Times New Roman" w:hAnsi="Times New Roman"/>
          <w:color w:val="000000"/>
          <w:sz w:val="18"/>
        </w:rPr>
        <w:t>By: /s/ Frederick V. Fortmiller, Jr. Title: Managing Member</w:t>
      </w:r>
    </w:p>
    <w:p>
      <w:pPr>
        <w:pStyle w:val="TextBody"/>
        <w:bidi w:val="0"/>
        <w:jc w:val="left"/>
        <w:rPr/>
      </w:pPr>
      <w:r>
        <w:rPr/>
        <w:t> </w:t>
      </w:r>
    </w:p>
    <w:p>
      <w:pPr>
        <w:pStyle w:val="TextBody"/>
        <w:bidi w:val="0"/>
        <w:jc w:val="left"/>
        <w:rPr>
          <w:rFonts w:ascii="Times New Roman" w:hAnsi="Times New Roman"/>
          <w:color w:val="000000"/>
          <w:sz w:val="18"/>
        </w:rPr>
      </w:pPr>
      <w:r>
        <w:rPr>
          <w:rFonts w:ascii="Times New Roman" w:hAnsi="Times New Roman"/>
          <w:color w:val="000000"/>
          <w:sz w:val="18"/>
        </w:rPr>
        <w:t>FREDERICK V. FORTMILLER, JR.</w:t>
      </w:r>
    </w:p>
    <w:p>
      <w:pPr>
        <w:pStyle w:val="TextBody"/>
        <w:bidi w:val="0"/>
        <w:jc w:val="left"/>
        <w:rPr>
          <w:rFonts w:ascii="Times New Roman" w:hAnsi="Times New Roman"/>
          <w:color w:val="000000"/>
          <w:sz w:val="18"/>
        </w:rPr>
      </w:pPr>
      <w:r>
        <w:rPr>
          <w:rFonts w:ascii="Times New Roman" w:hAnsi="Times New Roman"/>
          <w:color w:val="000000"/>
          <w:sz w:val="18"/>
        </w:rPr>
        <w:t>/s/ Frederick V. Fortmiller, Jr.</w:t>
      </w:r>
    </w:p>
    <w:p>
      <w:pPr>
        <w:pStyle w:val="TextBody"/>
        <w:bidi w:val="0"/>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spacing w:before="1" w:after="283"/>
        <w:jc w:val="left"/>
        <w:rPr/>
      </w:pPr>
      <w:r>
        <w:rPr/>
        <w:t> </w:t>
      </w:r>
    </w:p>
    <w:p>
      <w:pPr>
        <w:pStyle w:val="TextBody"/>
        <w:bidi w:val="0"/>
        <w:jc w:val="center"/>
        <w:rPr>
          <w:rFonts w:ascii="Times New Roman" w:hAnsi="Times New Roman"/>
          <w:color w:val="000000"/>
          <w:sz w:val="18"/>
        </w:rPr>
      </w:pPr>
      <w:r>
        <w:rPr>
          <w:rFonts w:ascii="Times New Roman" w:hAnsi="Times New Roman"/>
          <w:color w:val="000000"/>
          <w:sz w:val="18"/>
        </w:rPr>
        <w:t>1</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checked.jpg" TargetMode="External"/><Relationship Id="rId23" Type="http://schemas.openxmlformats.org/officeDocument/2006/relationships/fontTable" Target="fontTable.xml"/><Relationship Id="rId2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1405</Words>
  <Characters>7383</Characters>
  <CharactersWithSpaces>8768</CharactersWithSpaces>
  <Paragraphs>234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