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Brazier Stuart Damon</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05/15/2026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AIR Global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AIIR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97"/>
        <w:spacing w:after="0" w:line="275" w:lineRule="auto"/>
        <w:rPr>
          <w:sz w:val="20"/>
          <w:szCs w:val="20"/>
          <w:color w:val="auto"/>
        </w:rPr>
      </w:pPr>
      <w:r>
        <w:rPr>
          <w:rFonts w:ascii="Times New Roman" w:cs="Times New Roman" w:eastAsia="Times New Roman" w:hAnsi="Times New Roman"/>
          <w:sz w:val="20"/>
          <w:szCs w:val="20"/>
          <w:color w:val="0000FF"/>
        </w:rPr>
        <w:t>C/O AIR GLOBAL PLC, FESTIVAL OFFICE</w:t>
      </w:r>
    </w:p>
    <w:p>
      <w:pPr>
        <w:spacing w:after="0" w:line="13"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TOWER, DUBAI FESTIVAL CITY, 7TH FLOOR</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s>
        <w:rPr>
          <w:sz w:val="20"/>
          <w:szCs w:val="20"/>
          <w:color w:val="auto"/>
        </w:rPr>
      </w:pPr>
      <w:r>
        <w:rPr>
          <w:rFonts w:ascii="Times New Roman" w:cs="Times New Roman" w:eastAsia="Times New Roman" w:hAnsi="Times New Roman"/>
          <w:sz w:val="20"/>
          <w:szCs w:val="20"/>
          <w:color w:val="0000FF"/>
        </w:rPr>
        <w:t>DUBAI</w:t>
      </w:r>
      <w:r>
        <w:rPr>
          <w:sz w:val="20"/>
          <w:szCs w:val="20"/>
          <w:color w:val="auto"/>
        </w:rPr>
        <w:tab/>
      </w:r>
      <w:r>
        <w:rPr>
          <w:rFonts w:ascii="Times New Roman" w:cs="Times New Roman" w:eastAsia="Times New Roman" w:hAnsi="Times New Roman"/>
          <w:sz w:val="20"/>
          <w:szCs w:val="20"/>
          <w:color w:val="0000FF"/>
        </w:rPr>
        <w:t>C0</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1,081,757</w:t>
            </w:r>
            <w:r>
              <w:rPr>
                <w:rFonts w:ascii="Times New Roman" w:cs="Times New Roman" w:eastAsia="Times New Roman" w:hAnsi="Times New Roman"/>
                <w:sz w:val="25"/>
                <w:szCs w:val="25"/>
                <w:color w:val="008000"/>
                <w:vertAlign w:val="superscript"/>
              </w:rPr>
              <w:t>(1)(2)</w:t>
            </w:r>
          </w:p>
        </w:tc>
        <w:tc>
          <w:tcPr>
            <w:tcW w:w="94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20" w:type="dxa"/>
            <w:vAlign w:val="bottom"/>
          </w:tcPr>
          <w:p>
            <w:pPr>
              <w:spacing w:after="0"/>
              <w:rPr>
                <w:sz w:val="14"/>
                <w:szCs w:val="14"/>
                <w:color w:val="auto"/>
              </w:rPr>
            </w:pPr>
          </w:p>
        </w:tc>
        <w:tc>
          <w:tcPr>
            <w:tcW w:w="94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2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4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34,547 Ordinary Shares subject to earnout conditions ("Earnout Shares"). The Earnout Shares will vest upon the earlier to occur of: (i) the closing price of the AIR Global PLC ordinary shares is at or above $12.50 for 20 trading days over a consecutive 30-day period during the Earnout Period, and (ii) certain early release events, including an AIR Global PLC merger, consolidation or reorganization in which the AIR Global PLC ordinary shares are converted or exchanged for the right to receive cash or registered publicly listed securities equal to or exceeding $12.50 per ordinary share. Any Earnout Shares that have not vested by May 14, 2031 will be forfeited.</w:t>
      </w:r>
    </w:p>
    <w:p>
      <w:pPr>
        <w:spacing w:after="0" w:line="33" w:lineRule="exact"/>
        <w:rPr>
          <w:rFonts w:ascii="Times New Roman" w:cs="Times New Roman" w:eastAsia="Times New Roman" w:hAnsi="Times New Roman"/>
          <w:sz w:val="15"/>
          <w:szCs w:val="15"/>
          <w:color w:val="008000"/>
        </w:rPr>
      </w:pPr>
    </w:p>
    <w:p>
      <w:pPr>
        <w:ind w:left="40" w:right="2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Also includes 356,263 ordinary shares underlying awards pursuant to the Issuer's incentive and compensation arrangements, which shares vest in accordance with the terms of the underlying awards.</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Mary-Ann Orr,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03378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33780"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Stuart 05/18/2026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Damon Brazier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76009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60095"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24</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16 AND FORM 144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27" w:lineRule="exact"/>
        <w:rPr>
          <w:sz w:val="20"/>
          <w:szCs w:val="20"/>
          <w:color w:val="auto"/>
        </w:rPr>
      </w:pPr>
    </w:p>
    <w:p>
      <w:pPr>
        <w:jc w:val="both"/>
        <w:ind w:firstLine="729"/>
        <w:spacing w:after="0" w:line="254" w:lineRule="auto"/>
        <w:rPr>
          <w:sz w:val="20"/>
          <w:szCs w:val="20"/>
          <w:color w:val="auto"/>
        </w:rPr>
      </w:pPr>
      <w:r>
        <w:rPr>
          <w:rFonts w:ascii="Times New Roman" w:cs="Times New Roman" w:eastAsia="Times New Roman" w:hAnsi="Times New Roman"/>
          <w:sz w:val="22"/>
          <w:szCs w:val="22"/>
          <w:color w:val="auto"/>
        </w:rPr>
        <w:t>With respect to holdings of and transactions in securities issued by AIR Global PLC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the undersigned hereby constitutes and appoints the individuals named on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attached hereto and as may be amended from time to time, or any of them signing singly, with full power of substitution and resubstitution, to act as the undersigned’s true and lawful attorney-in-fact to:</w:t>
      </w:r>
    </w:p>
    <w:p>
      <w:pPr>
        <w:spacing w:after="0" w:line="331" w:lineRule="exact"/>
        <w:rPr>
          <w:sz w:val="20"/>
          <w:szCs w:val="20"/>
          <w:color w:val="auto"/>
        </w:rPr>
      </w:pPr>
    </w:p>
    <w:p>
      <w:pPr>
        <w:jc w:val="both"/>
        <w:ind w:left="1220" w:hanging="491"/>
        <w:spacing w:after="0" w:line="249" w:lineRule="auto"/>
        <w:tabs>
          <w:tab w:leader="none" w:pos="12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2"/>
          <w:szCs w:val="22"/>
          <w:b w:val="1"/>
          <w:bCs w:val="1"/>
          <w:i w:val="1"/>
          <w:iCs w:val="1"/>
          <w:color w:val="auto"/>
        </w:rPr>
        <w:t>“Form 144”</w:t>
      </w:r>
      <w:r>
        <w:rPr>
          <w:rFonts w:ascii="Times New Roman" w:cs="Times New Roman" w:eastAsia="Times New Roman" w:hAnsi="Times New Roman"/>
          <w:sz w:val="22"/>
          <w:szCs w:val="22"/>
          <w:color w:val="auto"/>
        </w:rPr>
        <w:t>), in accordance with the requirements of Rule 144 under the Securities Act of 1933, as amended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and</w:t>
      </w:r>
    </w:p>
    <w:p>
      <w:pPr>
        <w:spacing w:after="0" w:line="83" w:lineRule="exact"/>
        <w:rPr>
          <w:rFonts w:ascii="Times New Roman" w:cs="Times New Roman" w:eastAsia="Times New Roman" w:hAnsi="Times New Roman"/>
          <w:sz w:val="22"/>
          <w:szCs w:val="22"/>
          <w:color w:val="auto"/>
        </w:rPr>
      </w:pPr>
    </w:p>
    <w:p>
      <w:pPr>
        <w:jc w:val="both"/>
        <w:ind w:left="1220" w:hanging="491"/>
        <w:spacing w:after="0" w:line="249" w:lineRule="auto"/>
        <w:tabs>
          <w:tab w:leader="none" w:pos="12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218" w:lineRule="exact"/>
        <w:rPr>
          <w:sz w:val="20"/>
          <w:szCs w:val="20"/>
          <w:color w:val="auto"/>
        </w:rPr>
      </w:pPr>
    </w:p>
    <w:p>
      <w:pPr>
        <w:jc w:val="both"/>
        <w:ind w:firstLine="729"/>
        <w:spacing w:after="0" w:line="248"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7"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208" w:lineRule="exact"/>
        <w:rPr>
          <w:sz w:val="20"/>
          <w:szCs w:val="20"/>
          <w:color w:val="auto"/>
        </w:rPr>
      </w:pPr>
    </w:p>
    <w:p>
      <w:pPr>
        <w:jc w:val="both"/>
        <w:ind w:firstLine="729"/>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2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 xml:space="preserve">IN WITNESS WHEREOF, the undersigned has caused this Power of Attorney to be executed as of </w:t>
      </w:r>
      <w:r>
        <w:rPr>
          <w:rFonts w:ascii="Times New Roman" w:cs="Times New Roman" w:eastAsia="Times New Roman" w:hAnsi="Times New Roman"/>
          <w:sz w:val="18"/>
          <w:szCs w:val="18"/>
          <w:color w:val="auto"/>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/s/ Stuart Brazier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17145</wp:posOffset>
            </wp:positionV>
            <wp:extent cx="277304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73045" cy="9525"/>
                    </a:xfrm>
                    <a:prstGeom prst="rect">
                      <a:avLst/>
                    </a:prstGeom>
                    <a:noFill/>
                  </pic:spPr>
                </pic:pic>
              </a:graphicData>
            </a:graphic>
          </wp:anchor>
        </w:drawing>
      </w:r>
    </w:p>
    <w:p>
      <w:pPr>
        <w:spacing w:after="0" w:line="1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Stuart Damon Brazier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680720</wp:posOffset>
            </wp:positionV>
            <wp:extent cx="6972300" cy="44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971"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u w:val="single" w:color="auto"/>
          <w:color w:val="auto"/>
        </w:rPr>
        <w:t>Schedule A</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INDIVIDUALS APPOINTED AS ATTORNEY-IN-FACT,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WITH FULL POWER OF SUBSTITUTION AND RESUBSTITUTION</w:t>
      </w:r>
    </w:p>
    <w:p>
      <w:pPr>
        <w:spacing w:after="0" w:line="245" w:lineRule="exact"/>
        <w:rPr>
          <w:sz w:val="20"/>
          <w:szCs w:val="20"/>
          <w:color w:val="auto"/>
        </w:rPr>
      </w:pPr>
    </w:p>
    <w:p>
      <w:pPr>
        <w:ind w:left="1300" w:hanging="437"/>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Bassem Lotfy, Chief Financial Officer of the Company</w:t>
      </w:r>
    </w:p>
    <w:p>
      <w:pPr>
        <w:spacing w:after="0" w:line="26" w:lineRule="exact"/>
        <w:rPr>
          <w:rFonts w:ascii="Times New Roman" w:cs="Times New Roman" w:eastAsia="Times New Roman" w:hAnsi="Times New Roman"/>
          <w:sz w:val="22"/>
          <w:szCs w:val="22"/>
          <w:color w:val="auto"/>
        </w:rPr>
      </w:pPr>
    </w:p>
    <w:p>
      <w:pPr>
        <w:ind w:left="1300" w:hanging="437"/>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Ronan Barry, Chief Legal and Corporate Affairs Officer of the Company</w:t>
      </w:r>
    </w:p>
    <w:p>
      <w:pPr>
        <w:spacing w:after="0" w:line="2" w:lineRule="exact"/>
        <w:rPr>
          <w:rFonts w:ascii="Times New Roman" w:cs="Times New Roman" w:eastAsia="Times New Roman" w:hAnsi="Times New Roman"/>
          <w:sz w:val="22"/>
          <w:szCs w:val="22"/>
          <w:color w:val="auto"/>
        </w:rPr>
      </w:pPr>
    </w:p>
    <w:p>
      <w:pPr>
        <w:ind w:left="1300" w:hanging="437"/>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Mary-Ann Orr, Company Secretary of the Company</w:t>
      </w:r>
    </w:p>
    <w:p>
      <w:pPr>
        <w:spacing w:after="0" w:line="2" w:lineRule="exact"/>
        <w:rPr>
          <w:rFonts w:ascii="Times New Roman" w:cs="Times New Roman" w:eastAsia="Times New Roman" w:hAnsi="Times New Roman"/>
          <w:sz w:val="22"/>
          <w:szCs w:val="22"/>
          <w:color w:val="auto"/>
        </w:rPr>
      </w:pPr>
    </w:p>
    <w:p>
      <w:pPr>
        <w:ind w:left="1300" w:hanging="437"/>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Benjamin Long, Group Financial Controller of the Company</w:t>
      </w:r>
    </w:p>
    <w:p>
      <w:pPr>
        <w:spacing w:after="0" w:line="2" w:lineRule="exact"/>
        <w:rPr>
          <w:rFonts w:ascii="Times New Roman" w:cs="Times New Roman" w:eastAsia="Times New Roman" w:hAnsi="Times New Roman"/>
          <w:sz w:val="22"/>
          <w:szCs w:val="22"/>
          <w:color w:val="auto"/>
        </w:rPr>
      </w:pPr>
    </w:p>
    <w:p>
      <w:pPr>
        <w:ind w:left="1300" w:hanging="437"/>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Marc Burrows, Assistant Company Secretary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999490</wp:posOffset>
            </wp:positionV>
            <wp:extent cx="6972300" cy="44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019"/>
      </w:cols>
      <w:pgMar w:left="1440" w:top="8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0" Type="http://schemas.openxmlformats.org/officeDocument/2006/relationships/hyperlink" Target="http://www.sec.gov/cgi-bin/browse-edgar?action=getcompany&amp;CIK=0002129001" TargetMode="External"/><Relationship Id="rId11" Type="http://schemas.openxmlformats.org/officeDocument/2006/relationships/hyperlink" Target="http://www.sec.gov/cgi-bin/browse-edgar?action=getcompany&amp;CIK=0002097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2026-05-18T05:57:22Z</dcterms:created>
  <dcterms:modified xsi:type="dcterms:W3CDTF">2026-05-18T05:57:22Z</dcterms:modified>
</cp:coreProperties>
</file>