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by AIR Holdings Ltd.</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5" w:lineRule="exact"/>
        <w:rPr>
          <w:sz w:val="24"/>
          <w:szCs w:val="24"/>
          <w:color w:val="auto"/>
        </w:rPr>
      </w:pPr>
    </w:p>
    <w:p>
      <w:pPr>
        <w:jc w:val="right"/>
        <w:ind w:left="5260"/>
        <w:spacing w:after="0" w:line="248" w:lineRule="auto"/>
        <w:rPr>
          <w:sz w:val="20"/>
          <w:szCs w:val="20"/>
          <w:color w:val="auto"/>
        </w:rPr>
      </w:pPr>
      <w:r>
        <w:rPr>
          <w:rFonts w:ascii="Times New Roman" w:cs="Times New Roman" w:eastAsia="Times New Roman" w:hAnsi="Times New Roman"/>
          <w:sz w:val="22"/>
          <w:szCs w:val="22"/>
          <w:b w:val="1"/>
          <w:bCs w:val="1"/>
          <w:color w:val="auto"/>
        </w:rPr>
        <w:t>Subject Companies: AIR Limited Cantor Equity Partners III, Inc., Commission File No. 001-42716 Date: April 7, 2026</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previously disclosed, on November 7, 2025, Cantor Equity Partners III, Inc. (“</w:t>
      </w:r>
      <w:r>
        <w:rPr>
          <w:rFonts w:ascii="Times New Roman" w:cs="Times New Roman" w:eastAsia="Times New Roman" w:hAnsi="Times New Roman"/>
          <w:sz w:val="22"/>
          <w:szCs w:val="22"/>
          <w:u w:val="single" w:color="auto"/>
          <w:color w:val="auto"/>
        </w:rPr>
        <w:t>CAEP</w:t>
      </w:r>
      <w:r>
        <w:rPr>
          <w:rFonts w:ascii="Times New Roman" w:cs="Times New Roman" w:eastAsia="Times New Roman" w:hAnsi="Times New Roman"/>
          <w:sz w:val="22"/>
          <w:szCs w:val="22"/>
          <w:color w:val="auto"/>
        </w:rPr>
        <w:t>”), a Cayman Islands exempted company, and AIR Limited, a private limited company incorporated under the laws of Jersey (“</w:t>
      </w:r>
      <w:r>
        <w:rPr>
          <w:rFonts w:ascii="Times New Roman" w:cs="Times New Roman" w:eastAsia="Times New Roman" w:hAnsi="Times New Roman"/>
          <w:sz w:val="22"/>
          <w:szCs w:val="22"/>
          <w:u w:val="single" w:color="auto"/>
          <w:color w:val="auto"/>
        </w:rPr>
        <w:t>AIR</w:t>
      </w:r>
      <w:r>
        <w:rPr>
          <w:rFonts w:ascii="Times New Roman" w:cs="Times New Roman" w:eastAsia="Times New Roman" w:hAnsi="Times New Roman"/>
          <w:sz w:val="22"/>
          <w:szCs w:val="22"/>
          <w:color w:val="auto"/>
        </w:rPr>
        <w:t>”), entered into a Business Combination Agreement (the “</w:t>
      </w:r>
      <w:r>
        <w:rPr>
          <w:rFonts w:ascii="Times New Roman" w:cs="Times New Roman" w:eastAsia="Times New Roman" w:hAnsi="Times New Roman"/>
          <w:sz w:val="22"/>
          <w:szCs w:val="22"/>
          <w:u w:val="single" w:color="auto"/>
          <w:color w:val="auto"/>
        </w:rPr>
        <w:t>Business Combination Agreement</w:t>
      </w:r>
      <w:r>
        <w:rPr>
          <w:rFonts w:ascii="Times New Roman" w:cs="Times New Roman" w:eastAsia="Times New Roman" w:hAnsi="Times New Roman"/>
          <w:sz w:val="22"/>
          <w:szCs w:val="22"/>
          <w:color w:val="auto"/>
        </w:rPr>
        <w:t>”), with AIR Holdings Limited, a private limited company incorporated under the laws of Jersey (“</w:t>
      </w:r>
      <w:r>
        <w:rPr>
          <w:rFonts w:ascii="Times New Roman" w:cs="Times New Roman" w:eastAsia="Times New Roman" w:hAnsi="Times New Roman"/>
          <w:sz w:val="22"/>
          <w:szCs w:val="22"/>
          <w:u w:val="single" w:color="auto"/>
          <w:color w:val="auto"/>
        </w:rPr>
        <w:t>Pubco</w:t>
      </w:r>
      <w:r>
        <w:rPr>
          <w:rFonts w:ascii="Times New Roman" w:cs="Times New Roman" w:eastAsia="Times New Roman" w:hAnsi="Times New Roman"/>
          <w:sz w:val="22"/>
          <w:szCs w:val="22"/>
          <w:color w:val="auto"/>
        </w:rPr>
        <w:t>”), Genesis Cayman Merger Sub Limited, a Cayman Islands exempted company (“</w:t>
      </w:r>
      <w:r>
        <w:rPr>
          <w:rFonts w:ascii="Times New Roman" w:cs="Times New Roman" w:eastAsia="Times New Roman" w:hAnsi="Times New Roman"/>
          <w:sz w:val="22"/>
          <w:szCs w:val="22"/>
          <w:u w:val="single" w:color="auto"/>
          <w:color w:val="auto"/>
        </w:rPr>
        <w:t>Cayman 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w:t>
      </w:r>
      <w:r>
        <w:rPr>
          <w:rFonts w:ascii="Times New Roman" w:cs="Times New Roman" w:eastAsia="Times New Roman" w:hAnsi="Times New Roman"/>
          <w:sz w:val="22"/>
          <w:szCs w:val="22"/>
          <w:color w:val="auto"/>
        </w:rPr>
        <w:t>”), and Genesis Jersey Merger Sub Limited, a private limited company incorporated under the laws of Jersey (“</w:t>
      </w:r>
      <w:r>
        <w:rPr>
          <w:rFonts w:ascii="Times New Roman" w:cs="Times New Roman" w:eastAsia="Times New Roman" w:hAnsi="Times New Roman"/>
          <w:sz w:val="22"/>
          <w:szCs w:val="22"/>
          <w:u w:val="single" w:color="auto"/>
          <w:color w:val="auto"/>
        </w:rPr>
        <w:t>Jersey 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w:t>
      </w:r>
      <w:r>
        <w:rPr>
          <w:rFonts w:ascii="Times New Roman" w:cs="Times New Roman" w:eastAsia="Times New Roman" w:hAnsi="Times New Roman"/>
          <w:sz w:val="22"/>
          <w:szCs w:val="22"/>
          <w:color w:val="auto"/>
        </w:rPr>
        <w:t>”).</w:t>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 April 7, 2026, AIR made the below post via its LinkedIn account: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5561965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319405</wp:posOffset>
            </wp:positionV>
            <wp:extent cx="4646295" cy="4363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46295" cy="43630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i w:val="1"/>
          <w:iCs w:val="1"/>
          <w:color w:val="auto"/>
        </w:rPr>
        <w:t>Additional Information and Where to Find It</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Pubco has filed with the Securities and Exchange Commission (the “SEC”), a Registration Statement on Form F-4 (as may be amended, the “Registration Statement”), which includes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Participants in the Solicitation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 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Offer or Solicitation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 w:name="page4"/>
    <w:bookmarkEnd w:id="3"/>
    <w:p>
      <w:pPr>
        <w:jc w:val="both"/>
        <w:spacing w:after="0" w:line="234" w:lineRule="auto"/>
        <w:rPr>
          <w:sz w:val="20"/>
          <w:szCs w:val="20"/>
          <w:color w:val="auto"/>
        </w:rPr>
      </w:pPr>
      <w:r>
        <w:rPr>
          <w:rFonts w:ascii="Times New Roman" w:cs="Times New Roman" w:eastAsia="Times New Roman" w:hAnsi="Times New Roman"/>
          <w:sz w:val="22"/>
          <w:szCs w:val="22"/>
          <w:color w:val="auto"/>
        </w:rPr>
        <w:t>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1405890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2026-04-07T15:54:53Z</dcterms:created>
  <dcterms:modified xsi:type="dcterms:W3CDTF">2026-04-07T15:54:53Z</dcterms:modified>
</cp:coreProperties>
</file>