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14"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______________________</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54" w:lineRule="exact"/>
        <w:rPr>
          <w:sz w:val="24"/>
          <w:szCs w:val="24"/>
          <w:color w:val="auto"/>
        </w:rPr>
      </w:pPr>
    </w:p>
    <w:p>
      <w:pPr>
        <w:jc w:val="center"/>
        <w:ind w:left="300" w:right="319"/>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For the month of May, 2026</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Commission File Number: 001-43297</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AIR Global PLC</w:t>
      </w: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(Translation of registrant’s name into English)</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Festival Office Tower</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Dubai Festival City, 7th Floor</w:t>
      </w:r>
    </w:p>
    <w:p>
      <w:pPr>
        <w:jc w:val="center"/>
        <w:ind w:right="19"/>
        <w:spacing w:after="0" w:line="230" w:lineRule="auto"/>
        <w:rPr>
          <w:sz w:val="20"/>
          <w:szCs w:val="20"/>
          <w:color w:val="auto"/>
        </w:rPr>
      </w:pPr>
      <w:r>
        <w:rPr>
          <w:rFonts w:ascii="Times New Roman" w:cs="Times New Roman" w:eastAsia="Times New Roman" w:hAnsi="Times New Roman"/>
          <w:sz w:val="22"/>
          <w:szCs w:val="22"/>
          <w:b w:val="1"/>
          <w:bCs w:val="1"/>
          <w:color w:val="auto"/>
        </w:rPr>
        <w:t>Dubai</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Arab Emirates</w:t>
      </w: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(Address of principal executive office)</w:t>
      </w:r>
    </w:p>
    <w:p>
      <w:pPr>
        <w:spacing w:after="0" w:line="238" w:lineRule="exact"/>
        <w:rPr>
          <w:sz w:val="24"/>
          <w:szCs w:val="24"/>
          <w:color w:val="auto"/>
        </w:rPr>
      </w:pPr>
    </w:p>
    <w:p>
      <w:pPr>
        <w:ind w:left="300" w:right="319" w:firstLine="648"/>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w:t>
      </w:r>
    </w:p>
    <w:p>
      <w:pPr>
        <w:spacing w:after="0" w:line="185" w:lineRule="exact"/>
        <w:rPr>
          <w:sz w:val="24"/>
          <w:szCs w:val="24"/>
          <w:color w:val="auto"/>
        </w:rPr>
      </w:pPr>
    </w:p>
    <w:p>
      <w:pPr>
        <w:ind w:left="2060"/>
        <w:spacing w:after="0"/>
        <w:tabs>
          <w:tab w:leader="none" w:pos="5700" w:val="left"/>
        </w:tabs>
        <w:rPr>
          <w:sz w:val="20"/>
          <w:szCs w:val="20"/>
          <w:color w:val="auto"/>
        </w:rPr>
      </w:pPr>
      <w:r>
        <w:rPr>
          <w:rFonts w:ascii="Times New Roman" w:cs="Times New Roman" w:eastAsia="Times New Roman" w:hAnsi="Times New Roman"/>
          <w:sz w:val="22"/>
          <w:szCs w:val="22"/>
          <w:color w:val="auto"/>
        </w:rPr>
        <w:t xml:space="preserve">Form 20-F </w:t>
      </w:r>
      <w:r>
        <w:rPr>
          <w:rFonts w:ascii="Wingdings" w:cs="Wingdings" w:eastAsia="Wingdings" w:hAnsi="Wingdings"/>
          <w:sz w:val="22"/>
          <w:szCs w:val="22"/>
          <w:b w:val="1"/>
          <w:bCs w:val="1"/>
          <w:color w:val="auto"/>
        </w:rPr>
        <w:t></w:t>
      </w:r>
      <w:r>
        <w:rPr>
          <w:sz w:val="20"/>
          <w:szCs w:val="20"/>
          <w:color w:val="auto"/>
        </w:rPr>
        <w:tab/>
      </w:r>
      <w:r>
        <w:rPr>
          <w:rFonts w:ascii="Times New Roman" w:cs="Times New Roman" w:eastAsia="Times New Roman" w:hAnsi="Times New Roman"/>
          <w:sz w:val="22"/>
          <w:szCs w:val="22"/>
          <w:color w:val="auto"/>
        </w:rPr>
        <w:t xml:space="preserve">Form 40-F </w:t>
      </w:r>
      <w:r>
        <w:rPr>
          <w:rFonts w:ascii="Wingdings" w:cs="Wingdings" w:eastAsia="Wingdings" w:hAnsi="Wingdings"/>
          <w:sz w:val="22"/>
          <w:szCs w:val="22"/>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-658495</wp:posOffset>
            </wp:positionH>
            <wp:positionV relativeFrom="paragraph">
              <wp:posOffset>1283970</wp:posOffset>
            </wp:positionV>
            <wp:extent cx="70377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On May 18, 2026, AIR Global PLC (NASDAQ: AIIR) (the “Company”) issued a press release announcing that its ordinary shares commenced trading on the Nasdaq Stock Market under the symbol “AIIR.” A copy of this press release is attached to this Form 6-K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18, 2026</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AIR Global PLC</w:t>
      </w:r>
    </w:p>
    <w:p>
      <w:pPr>
        <w:spacing w:after="0" w:line="227" w:lineRule="exact"/>
        <w:rPr>
          <w:sz w:val="20"/>
          <w:szCs w:val="20"/>
          <w:color w:val="auto"/>
        </w:rPr>
      </w:pPr>
    </w:p>
    <w:p>
      <w:pPr>
        <w:ind w:left="620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u w:val="single" w:color="auto"/>
          <w:color w:val="auto"/>
        </w:rPr>
        <w:t xml:space="preserve">/s/ </w:t>
      </w:r>
      <w:r>
        <w:rPr>
          <w:rFonts w:ascii="Times New Roman" w:cs="Times New Roman" w:eastAsia="Times New Roman" w:hAnsi="Times New Roman"/>
          <w:sz w:val="18"/>
          <w:szCs w:val="18"/>
          <w:u w:val="single" w:color="auto"/>
          <w:color w:val="auto"/>
        </w:rPr>
        <w:t>Stuart Brazier</w:t>
      </w:r>
    </w:p>
    <w:p>
      <w:pPr>
        <w:spacing w:after="0" w:line="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Stuart Brazier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49"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4"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1" w:lineRule="exact"/>
        <w:rPr>
          <w:sz w:val="20"/>
          <w:szCs w:val="20"/>
          <w:color w:val="auto"/>
        </w:rPr>
      </w:pPr>
    </w:p>
    <w:p>
      <w:pPr>
        <w:spacing w:after="0"/>
        <w:tabs>
          <w:tab w:leader="none" w:pos="18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AIR Global PLC press release, dated May 18,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1133475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 w:name="page5"/>
    <w:bookmarkEnd w:id="4"/>
    <w:p>
      <w:pPr>
        <w:jc w:val="right"/>
        <w:ind w:right="299"/>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9"/>
          <w:szCs w:val="29"/>
          <w:b w:val="1"/>
          <w:bCs w:val="1"/>
          <w:color w:val="auto"/>
        </w:rPr>
        <w:t>AIR Global to Begin Trading on Nasdaq</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AIR ordinary shares listed under the symbol “AIIR”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AIR will ring the Nasdaq Opening Bell on May 21, 2026, to celebrate the milestone</w:t>
      </w:r>
    </w:p>
    <w:p>
      <w:pPr>
        <w:spacing w:after="0" w:line="187" w:lineRule="exact"/>
        <w:rPr>
          <w:sz w:val="20"/>
          <w:szCs w:val="20"/>
          <w:color w:val="auto"/>
        </w:rPr>
      </w:pPr>
    </w:p>
    <w:p>
      <w:pPr>
        <w:jc w:val="both"/>
        <w:ind w:left="300" w:right="299"/>
        <w:spacing w:after="0" w:line="237" w:lineRule="auto"/>
        <w:rPr>
          <w:sz w:val="20"/>
          <w:szCs w:val="20"/>
          <w:color w:val="auto"/>
        </w:rPr>
      </w:pPr>
      <w:r>
        <w:rPr>
          <w:rFonts w:ascii="Arial" w:cs="Arial" w:eastAsia="Arial" w:hAnsi="Arial"/>
          <w:sz w:val="20"/>
          <w:szCs w:val="20"/>
          <w:b w:val="1"/>
          <w:bCs w:val="1"/>
          <w:color w:val="auto"/>
        </w:rPr>
        <w:t xml:space="preserve">DUBAI, United Arab Emirates – May 18, 2026 – AIR Global </w:t>
      </w:r>
      <w:r>
        <w:rPr>
          <w:rFonts w:ascii="Arial" w:cs="Arial" w:eastAsia="Arial" w:hAnsi="Arial"/>
          <w:sz w:val="20"/>
          <w:szCs w:val="20"/>
          <w:color w:val="auto"/>
        </w:rPr>
        <w:t>(“AIR” or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(NASDAQ: AIIR), the global leader in flavored shisha molasses and pioneer in advanced inhalation technologies, today announced that its ordinary shares have commenced trading on the Nasdaq Stock Market under the symbol “AIIR.”</w:t>
      </w:r>
    </w:p>
    <w:p>
      <w:pPr>
        <w:spacing w:after="0" w:line="174" w:lineRule="exact"/>
        <w:rPr>
          <w:sz w:val="20"/>
          <w:szCs w:val="20"/>
          <w:color w:val="auto"/>
        </w:rPr>
      </w:pPr>
    </w:p>
    <w:p>
      <w:pPr>
        <w:jc w:val="both"/>
        <w:ind w:left="300" w:right="319"/>
        <w:spacing w:after="0" w:line="233" w:lineRule="auto"/>
        <w:rPr>
          <w:sz w:val="20"/>
          <w:szCs w:val="20"/>
          <w:color w:val="auto"/>
        </w:rPr>
      </w:pPr>
      <w:r>
        <w:rPr>
          <w:rFonts w:ascii="Arial" w:cs="Arial" w:eastAsia="Arial" w:hAnsi="Arial"/>
          <w:sz w:val="20"/>
          <w:szCs w:val="20"/>
          <w:color w:val="auto"/>
        </w:rPr>
        <w:t>“AIR’s entry into the public markets represents a pivotal moment not just for our company, but for the evolution of the shisha and hookah categories as well,” said Stuart Brazier, CEO of AIR. “What originated centuries ago as a cultural ritual is now emerging as a modern, social experience embraced by both its core traditional consumers and a new generation of consumers in Western markets. AIR is the only scaled, purpose-built hookah platform that pairs exceptional flavor innovation with next-generation, science-driven product design.”</w:t>
      </w:r>
    </w:p>
    <w:p>
      <w:pPr>
        <w:spacing w:after="0" w:line="172" w:lineRule="exact"/>
        <w:rPr>
          <w:sz w:val="20"/>
          <w:szCs w:val="20"/>
          <w:color w:val="auto"/>
        </w:rPr>
      </w:pPr>
    </w:p>
    <w:p>
      <w:pPr>
        <w:jc w:val="both"/>
        <w:ind w:left="300" w:right="319"/>
        <w:spacing w:after="0" w:line="234" w:lineRule="auto"/>
        <w:rPr>
          <w:sz w:val="20"/>
          <w:szCs w:val="20"/>
          <w:color w:val="auto"/>
        </w:rPr>
      </w:pPr>
      <w:r>
        <w:rPr>
          <w:rFonts w:ascii="Arial" w:cs="Arial" w:eastAsia="Arial" w:hAnsi="Arial"/>
          <w:sz w:val="20"/>
          <w:szCs w:val="20"/>
          <w:color w:val="auto"/>
        </w:rPr>
        <w:t>According to Arthur D. Little, the flavored molasses market based on consumer spending (including expenditures in lounges and the market size for hookah devices and related accessories) is valued at an estimated $ 15-19 billion, and overall sales growth is expected to grow steadily, with an estimated CAGR of 4-6% from 2025-2030. AIR has previously announced several strategic initiatives supporting its global growth plans, including:</w:t>
      </w:r>
    </w:p>
    <w:p>
      <w:pPr>
        <w:spacing w:after="0" w:line="67" w:lineRule="exact"/>
        <w:rPr>
          <w:sz w:val="20"/>
          <w:szCs w:val="20"/>
          <w:color w:val="auto"/>
        </w:rPr>
      </w:pPr>
    </w:p>
    <w:p>
      <w:pPr>
        <w:jc w:val="both"/>
        <w:ind w:left="940" w:right="299" w:hanging="324"/>
        <w:spacing w:after="0" w:line="234" w:lineRule="auto"/>
        <w:tabs>
          <w:tab w:leader="none" w:pos="9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Its plans to open a new approximately 70,000-square-foot manufacturing facility in Romania, which is expected to commence operations by Q1 2027. Once fully operational, AIR expects to support more than 150 high-quality jobs at the facility, which is expected to be capable of producing more than 4,000 tons of flavored shisha molasses each year.</w:t>
      </w:r>
    </w:p>
    <w:p>
      <w:pPr>
        <w:spacing w:after="0" w:line="66" w:lineRule="exact"/>
        <w:rPr>
          <w:rFonts w:ascii="Times New Roman" w:cs="Times New Roman" w:eastAsia="Times New Roman" w:hAnsi="Times New Roman"/>
          <w:sz w:val="20"/>
          <w:szCs w:val="20"/>
          <w:color w:val="auto"/>
        </w:rPr>
      </w:pPr>
    </w:p>
    <w:p>
      <w:pPr>
        <w:jc w:val="both"/>
        <w:ind w:left="940" w:right="299" w:hanging="324"/>
        <w:spacing w:after="0" w:line="252" w:lineRule="auto"/>
        <w:tabs>
          <w:tab w:leader="none" w:pos="94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color w:val="auto"/>
        </w:rPr>
        <w:t>Its acquisition of the rights of NameLess, one of Germany’s most recognized and trusted brands for premium flavored hookah products, in December 2025 and announced plans to introduce its flavors, including Black Nana, to new audiences worldwide via AIR’s extensive global distribution network spanning more than 90 markets.</w:t>
      </w:r>
    </w:p>
    <w:p>
      <w:pPr>
        <w:spacing w:after="0" w:line="53" w:lineRule="exact"/>
        <w:rPr>
          <w:rFonts w:ascii="Times New Roman" w:cs="Times New Roman" w:eastAsia="Times New Roman" w:hAnsi="Times New Roman"/>
          <w:sz w:val="19"/>
          <w:szCs w:val="19"/>
          <w:color w:val="auto"/>
        </w:rPr>
      </w:pPr>
    </w:p>
    <w:p>
      <w:pPr>
        <w:jc w:val="both"/>
        <w:ind w:left="940" w:right="299" w:hanging="324"/>
        <w:spacing w:after="0" w:line="260" w:lineRule="auto"/>
        <w:tabs>
          <w:tab w:leader="none" w:pos="940"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color w:val="auto"/>
        </w:rPr>
        <w:t>The launch in Germany of Crown Switch, Al Fakher’s first rechargeable pod vape system with disposable pods that contains zero ceramics or heavy metals unlike traditional coil and wick vapes, with rollout expected in additional markets in the coming months.</w:t>
      </w:r>
    </w:p>
    <w:p>
      <w:pPr>
        <w:spacing w:after="0" w:line="45" w:lineRule="exact"/>
        <w:rPr>
          <w:rFonts w:ascii="Times New Roman" w:cs="Times New Roman" w:eastAsia="Times New Roman" w:hAnsi="Times New Roman"/>
          <w:sz w:val="19"/>
          <w:szCs w:val="19"/>
          <w:color w:val="auto"/>
        </w:rPr>
      </w:pPr>
    </w:p>
    <w:p>
      <w:pPr>
        <w:jc w:val="both"/>
        <w:ind w:left="940" w:right="299" w:hanging="324"/>
        <w:spacing w:after="0" w:line="236" w:lineRule="auto"/>
        <w:tabs>
          <w:tab w:leader="none" w:pos="9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A transformative collaboration with legendary rapper, entrepreneur and cultural icon Snoop Dogg introducing a premium collection of exclusive hookah flavors combining Snoop Dogg’s signature laid-back lifestyle with Al Fakher’s commitment to impeccable quality, premium ingredients and science-backed safety research.</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Background Information on AIR’s Business Combination</w:t>
      </w:r>
    </w:p>
    <w:p>
      <w:pPr>
        <w:spacing w:after="0" w:line="6" w:lineRule="exact"/>
        <w:rPr>
          <w:sz w:val="20"/>
          <w:szCs w:val="20"/>
          <w:color w:val="auto"/>
        </w:rPr>
      </w:pPr>
    </w:p>
    <w:p>
      <w:pPr>
        <w:jc w:val="both"/>
        <w:ind w:left="300" w:right="299"/>
        <w:spacing w:after="0" w:line="232" w:lineRule="auto"/>
        <w:rPr>
          <w:sz w:val="20"/>
          <w:szCs w:val="20"/>
          <w:color w:val="auto"/>
        </w:rPr>
      </w:pPr>
      <w:r>
        <w:rPr>
          <w:rFonts w:ascii="Arial" w:cs="Arial" w:eastAsia="Arial" w:hAnsi="Arial"/>
          <w:sz w:val="20"/>
          <w:szCs w:val="20"/>
          <w:color w:val="auto"/>
        </w:rPr>
        <w:t>On November 7, 2025, AIR and CAEP announced that they entered into a definitive business combination agreement (the “Business Combination”) that, at closing, resulted in the combined company AIR Global PLC (“AIR Global”) and became publicly listed on the Nasdaq in the United States under the ticker symbol “AIIR.”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864870</wp:posOffset>
            </wp:positionV>
            <wp:extent cx="703770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764" w:right="1440" w:bottom="1440" w:gutter="0" w:footer="0" w:header="0"/>
        </w:sectPr>
      </w:pPr>
    </w:p>
    <w:bookmarkStart w:id="5" w:name="page6"/>
    <w:bookmarkEnd w:id="5"/>
    <w:p>
      <w:pPr>
        <w:jc w:val="both"/>
        <w:ind w:left="300" w:right="299"/>
        <w:spacing w:after="0" w:line="234" w:lineRule="auto"/>
        <w:rPr>
          <w:sz w:val="20"/>
          <w:szCs w:val="20"/>
          <w:color w:val="auto"/>
        </w:rPr>
      </w:pPr>
      <w:r>
        <w:rPr>
          <w:rFonts w:ascii="Arial" w:cs="Arial" w:eastAsia="Arial" w:hAnsi="Arial"/>
          <w:sz w:val="20"/>
          <w:szCs w:val="20"/>
          <w:color w:val="auto"/>
        </w:rPr>
        <w:t>Additional information about the Business Combination, including a copy of the Business Combination Agreement, are available in a Current Report on Form 8-K filed by CAEP with the SEC on November 7, 2025 and the definitive proxy statement filed by CAEP and the Registration Statement filed by the Company and AIR Holdings Limited with the SEC, each dated April 22, 2026 and all available at www.sec.gov.</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About AIR</w:t>
      </w:r>
    </w:p>
    <w:p>
      <w:pPr>
        <w:spacing w:after="0" w:line="6" w:lineRule="exact"/>
        <w:rPr>
          <w:sz w:val="20"/>
          <w:szCs w:val="20"/>
          <w:color w:val="auto"/>
        </w:rPr>
      </w:pPr>
    </w:p>
    <w:p>
      <w:pPr>
        <w:jc w:val="both"/>
        <w:ind w:left="300" w:right="299"/>
        <w:spacing w:after="0" w:line="228" w:lineRule="auto"/>
        <w:rPr>
          <w:sz w:val="20"/>
          <w:szCs w:val="20"/>
          <w:color w:val="auto"/>
        </w:rPr>
      </w:pPr>
      <w:r>
        <w:rPr>
          <w:rFonts w:ascii="Arial" w:cs="Arial" w:eastAsia="Arial" w:hAnsi="Arial"/>
          <w:sz w:val="20"/>
          <w:szCs w:val="20"/>
          <w:color w:val="auto"/>
        </w:rPr>
        <w:t>Launched in 1999 and headquartered in Dubai, AIR is a global innovation leader in social inhalation, with a multinational presence in over 90 markets worldwide. Its portfolio of companies and assets includes Al Fakher, the world’s leading flavored shisha molasses brand; Hookah.com, North America’s number one B2B e-commerce platform for hookah and shisha by market share; and OOKA, a highly innovative charcoal-free shisha device, among others. AIR’s science program, conducted in partnership with independent accredited laboratories, enables the development of innovative products that combine centuries of tradition with cutting-edge technology designed to reduce harmful compounds and maximize enjoyment for millions around the world.</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For more information, please visit https://air.global/</w:t>
      </w:r>
    </w:p>
    <w:p>
      <w:pPr>
        <w:spacing w:after="0" w:line="200"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Forward-Looking Statements</w:t>
      </w:r>
    </w:p>
    <w:p>
      <w:pPr>
        <w:spacing w:after="0" w:line="6" w:lineRule="exact"/>
        <w:rPr>
          <w:sz w:val="20"/>
          <w:szCs w:val="20"/>
          <w:color w:val="auto"/>
        </w:rPr>
      </w:pPr>
    </w:p>
    <w:p>
      <w:pPr>
        <w:jc w:val="both"/>
        <w:ind w:left="300" w:right="299"/>
        <w:spacing w:after="0" w:line="231" w:lineRule="auto"/>
        <w:rPr>
          <w:sz w:val="20"/>
          <w:szCs w:val="20"/>
          <w:color w:val="auto"/>
        </w:rPr>
      </w:pPr>
      <w:r>
        <w:rPr>
          <w:rFonts w:ascii="Arial" w:cs="Arial" w:eastAsia="Arial" w:hAnsi="Arial"/>
          <w:sz w:val="20"/>
          <w:szCs w:val="20"/>
          <w:color w:val="auto"/>
        </w:rPr>
        <w:t>This press release contains “forward-looking statements,” within the meaning of U.S. federal securities laws. These forward-looking statements generally are identified by the words “anticipate,” “believe,” “estimate,” “expect,” “forecast,” “future,” “intend,” “may,” “opportunity,” “plan,” “project,” “should,” “strategy,” “will,” “will be,” “will continue,” “will likely result,” “would” and similar expressions (including the negative versions of such words or expressions).</w:t>
      </w:r>
    </w:p>
    <w:p>
      <w:pPr>
        <w:spacing w:after="0" w:line="171" w:lineRule="exact"/>
        <w:rPr>
          <w:sz w:val="20"/>
          <w:szCs w:val="20"/>
          <w:color w:val="auto"/>
        </w:rPr>
      </w:pPr>
    </w:p>
    <w:p>
      <w:pPr>
        <w:jc w:val="both"/>
        <w:ind w:left="300" w:right="299"/>
        <w:spacing w:after="0" w:line="227" w:lineRule="auto"/>
        <w:rPr>
          <w:sz w:val="20"/>
          <w:szCs w:val="20"/>
          <w:color w:val="auto"/>
        </w:rPr>
      </w:pPr>
      <w:r>
        <w:rPr>
          <w:rFonts w:ascii="Arial" w:cs="Arial" w:eastAsia="Arial" w:hAnsi="Arial"/>
          <w:sz w:val="20"/>
          <w:szCs w:val="20"/>
          <w:color w:val="auto"/>
        </w:rPr>
        <w:t>Forward-looking statements are predictions, projections and other statements about future events that are based on current expectations and assumptions and, as a result, are subject to risks and uncertainties. All statements contained in this press release that do not relate to matters of historical fact should be considered forward-looking statements, including, without limitation, statements relating to, among other things, AIR’s growth strategy, market expansion plans, product innovation pipeline and commercialization efforts (including with respect to OOKA and other new technologies); partnerships and go-to-market initiatives; and market size, share and adoption trends. These statements are based on management’s current expectations. These statements are neither promises nor guarantees, but involve known and unknown risks, uncertainties and other important factors that may cause AIR Global’s or AIR’s actual results, performance or achievements to be materially different from any future results, performance or achievements expressed or implied by the forward-looking statements in this press release, including, but not limited to, the ability to develop, construct, staff and operate the new facility on the expected timeline or at all; delays, cost overruns or operational disruptions; changes in global geopolitical, macroeconomic, supply chain or other conditions; changes in customer demand, competitive conditions or the markets in which AIR Global operates; the ability of AIR Global to grow, retain its management and key employees, commercialize new products and execute its business strategy; changes in applicable laws or regulations; and other risks and uncertainties set forth in the F-4. Forward-looking statements are inherently subject to risks and uncertainties, many of which AIR, CAEP and AIR Global cannot predict with accuracy and some of which neither AIR, CAEP nor AIR Global might even anticipate. The forward-looking statements contained in this press release speak only as of the date of this release. Readers are cautioned not to put undue reliance on forward-looking statements, and AIR, CAEP and AIR Global do not assume any obligation to and do not intend to publicly update any forward-looking statement to reflect events or circumstances after such date or to reflect the occurrence of unanticipated events, except as required by U.S. federal securities laws. The inclusion of any statement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866775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14" w:right="1440" w:bottom="1440" w:gutter="0" w:footer="0" w:header="0"/>
        </w:sectPr>
      </w:pPr>
    </w:p>
    <w:bookmarkStart w:id="6" w:name="page7"/>
    <w:bookmarkEnd w:id="6"/>
    <w:p>
      <w:pPr>
        <w:spacing w:after="0" w:line="190"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20"/>
          <w:szCs w:val="20"/>
          <w:color w:val="auto"/>
        </w:rPr>
        <w:t>communication does not constitute an admission by CAEP, AIR or AIR Global or any other person that the events or circumstances described in such statement are material.</w:t>
      </w:r>
    </w:p>
    <w:p>
      <w:pPr>
        <w:spacing w:after="0" w:line="155" w:lineRule="exact"/>
        <w:rPr>
          <w:sz w:val="20"/>
          <w:szCs w:val="20"/>
          <w:color w:val="auto"/>
        </w:rPr>
      </w:pPr>
    </w:p>
    <w:p>
      <w:pPr>
        <w:jc w:val="both"/>
        <w:ind w:left="300" w:right="299"/>
        <w:spacing w:after="0" w:line="241" w:lineRule="auto"/>
        <w:rPr>
          <w:sz w:val="20"/>
          <w:szCs w:val="20"/>
          <w:color w:val="auto"/>
        </w:rPr>
      </w:pPr>
      <w:r>
        <w:rPr>
          <w:rFonts w:ascii="Arial" w:cs="Arial" w:eastAsia="Arial" w:hAnsi="Arial"/>
          <w:sz w:val="19"/>
          <w:szCs w:val="19"/>
          <w:color w:val="auto"/>
        </w:rPr>
        <w:t>The foregoing list of risk factors is not exhaustive. You should carefully consider the foregoing factors and the other risks and uncertainties described in the “Risk Factors” section of the definitive proxy statement filed by CAEP and the final prospectus filed by AIR Global, each dated April 22, 2026, the final prospectus of CAEP dated as of June 25, 2025 and filed by CAEP with the SEC on June 26, 2025, CAEP’s Quarterly Reports on Form 10-Q, CAEP’s Annual Report on Form 10-K, and other documents filed by CAEP and AIR Global from time to time with the SEC. These filings do or will identify and address other important risks and uncertainties that could cause actual events and results to differ materially from those contained in the forward-looking statements. There may be additional risks that CAEP, AIR and AIR Global do not presently know or that CAEP, AIR and AIR Global currently believe are immaterial that could also cause actual results to differ from those contained in the forward-looking statements.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20"/>
          <w:szCs w:val="20"/>
          <w:b w:val="1"/>
          <w:bCs w:val="1"/>
          <w:color w:val="auto"/>
        </w:rPr>
        <w:t>Contacts</w:t>
      </w:r>
    </w:p>
    <w:p>
      <w:pPr>
        <w:ind w:left="300"/>
        <w:spacing w:after="0" w:line="231" w:lineRule="auto"/>
        <w:rPr>
          <w:sz w:val="20"/>
          <w:szCs w:val="20"/>
          <w:color w:val="auto"/>
        </w:rPr>
      </w:pPr>
      <w:r>
        <w:rPr>
          <w:rFonts w:ascii="Arial" w:cs="Arial" w:eastAsia="Arial" w:hAnsi="Arial"/>
          <w:sz w:val="20"/>
          <w:szCs w:val="20"/>
          <w:b w:val="1"/>
          <w:bCs w:val="1"/>
          <w:color w:val="auto"/>
        </w:rPr>
        <w:t>AIR Investor and Media Relations:</w:t>
      </w:r>
    </w:p>
    <w:p>
      <w:pPr>
        <w:ind w:left="300"/>
        <w:spacing w:after="0" w:line="226" w:lineRule="auto"/>
        <w:rPr>
          <w:sz w:val="20"/>
          <w:szCs w:val="20"/>
          <w:color w:val="auto"/>
        </w:rPr>
      </w:pPr>
      <w:r>
        <w:rPr>
          <w:rFonts w:ascii="Arial" w:cs="Arial" w:eastAsia="Arial" w:hAnsi="Arial"/>
          <w:sz w:val="20"/>
          <w:szCs w:val="20"/>
          <w:color w:val="auto"/>
        </w:rPr>
        <w:t>ICR for AIR</w:t>
      </w:r>
    </w:p>
    <w:p>
      <w:pPr>
        <w:ind w:left="300"/>
        <w:spacing w:after="0"/>
        <w:rPr>
          <w:sz w:val="20"/>
          <w:szCs w:val="20"/>
          <w:color w:val="auto"/>
        </w:rPr>
      </w:pPr>
      <w:r>
        <w:rPr>
          <w:rFonts w:ascii="Arial" w:cs="Arial" w:eastAsia="Arial" w:hAnsi="Arial"/>
          <w:sz w:val="20"/>
          <w:szCs w:val="20"/>
          <w:color w:val="auto"/>
        </w:rPr>
        <w:t>AIRglobal@icrinc.com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1009650</wp:posOffset>
            </wp:positionV>
            <wp:extent cx="703770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2026-05-18T15:09:06Z</dcterms:created>
  <dcterms:modified xsi:type="dcterms:W3CDTF">2026-05-18T15:09:06Z</dcterms:modified>
</cp:coreProperties>
</file>