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Barry Ronan</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05/15/2026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AIR Global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AIIR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97"/>
        <w:spacing w:after="0" w:line="275" w:lineRule="auto"/>
        <w:rPr>
          <w:sz w:val="20"/>
          <w:szCs w:val="20"/>
          <w:color w:val="auto"/>
        </w:rPr>
      </w:pPr>
      <w:r>
        <w:rPr>
          <w:rFonts w:ascii="Times New Roman" w:cs="Times New Roman" w:eastAsia="Times New Roman" w:hAnsi="Times New Roman"/>
          <w:sz w:val="20"/>
          <w:szCs w:val="20"/>
          <w:color w:val="0000FF"/>
        </w:rPr>
        <w:t>C/O AIR GLOBAL PLC, FESTIVAL OFFICE</w:t>
      </w:r>
    </w:p>
    <w:p>
      <w:pPr>
        <w:spacing w:after="0" w:line="13"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TOWER, DUBAI FESTIVAL CITY, 7TH FLOOR</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s>
        <w:rPr>
          <w:sz w:val="20"/>
          <w:szCs w:val="20"/>
          <w:color w:val="auto"/>
        </w:rPr>
      </w:pPr>
      <w:r>
        <w:rPr>
          <w:rFonts w:ascii="Times New Roman" w:cs="Times New Roman" w:eastAsia="Times New Roman" w:hAnsi="Times New Roman"/>
          <w:sz w:val="20"/>
          <w:szCs w:val="20"/>
          <w:color w:val="0000FF"/>
        </w:rPr>
        <w:t>DUBAI</w:t>
      </w:r>
      <w:r>
        <w:rPr>
          <w:sz w:val="20"/>
          <w:szCs w:val="20"/>
          <w:color w:val="auto"/>
        </w:rPr>
        <w:tab/>
      </w:r>
      <w:r>
        <w:rPr>
          <w:rFonts w:ascii="Times New Roman" w:cs="Times New Roman" w:eastAsia="Times New Roman" w:hAnsi="Times New Roman"/>
          <w:sz w:val="20"/>
          <w:szCs w:val="20"/>
          <w:color w:val="0000FF"/>
        </w:rPr>
        <w:t>C0</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20"/>
                <w:szCs w:val="20"/>
                <w:color w:val="0000FF"/>
              </w:rPr>
              <w:t>303,732</w:t>
            </w:r>
            <w:r>
              <w:rPr>
                <w:rFonts w:ascii="Times New Roman" w:cs="Times New Roman" w:eastAsia="Times New Roman" w:hAnsi="Times New Roman"/>
                <w:sz w:val="25"/>
                <w:szCs w:val="25"/>
                <w:color w:val="008000"/>
                <w:vertAlign w:val="superscript"/>
              </w:rPr>
              <w:t>(1)(2)</w:t>
            </w:r>
          </w:p>
        </w:tc>
        <w:tc>
          <w:tcPr>
            <w:tcW w:w="98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980" w:type="dxa"/>
            <w:vAlign w:val="bottom"/>
            <w:gridSpan w:val="2"/>
            <w:vMerge w:val="restart"/>
          </w:tcPr>
          <w:p>
            <w:pPr>
              <w:ind w:left="2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80" w:type="dxa"/>
            <w:vAlign w:val="bottom"/>
          </w:tcPr>
          <w:p>
            <w:pPr>
              <w:spacing w:after="0"/>
              <w:rPr>
                <w:sz w:val="14"/>
                <w:szCs w:val="14"/>
                <w:color w:val="auto"/>
              </w:rPr>
            </w:pPr>
          </w:p>
        </w:tc>
        <w:tc>
          <w:tcPr>
            <w:tcW w:w="980" w:type="dxa"/>
            <w:vAlign w:val="bottom"/>
            <w:gridSpan w:val="2"/>
          </w:tcPr>
          <w:p>
            <w:pPr>
              <w:ind w:left="2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gridSpan w:val="2"/>
          </w:tcPr>
          <w:p>
            <w:pPr>
              <w:ind w:left="2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4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10,604 Ordinary Shares subject to earnout conditions ("Earnout Shares"). The Earnout Shares will vest upon the earlier to occur of: (i) the closing price of the AIR Global PLC ordinary shares is at or above $12.50 for 20 trading days over a consecutive 30-day period during the Earnout Period, and (ii) certain early release events, including an AIR Global PLC merger, consolidation or reorganization in which the AIR Global PLC ordinary shares are converted or exchanged for the right to receive cash or registered publicly listed securities equal to or exceeding $12.50 per ordinary share. Any Earnout Shares that have not vested by May 14, 2031 will be forfeited.</w:t>
      </w:r>
    </w:p>
    <w:p>
      <w:pPr>
        <w:spacing w:after="0" w:line="33" w:lineRule="exact"/>
        <w:rPr>
          <w:rFonts w:ascii="Times New Roman" w:cs="Times New Roman" w:eastAsia="Times New Roman" w:hAnsi="Times New Roman"/>
          <w:sz w:val="15"/>
          <w:szCs w:val="15"/>
          <w:color w:val="008000"/>
        </w:rPr>
      </w:pPr>
    </w:p>
    <w:p>
      <w:pPr>
        <w:ind w:left="40" w:right="1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Also includes 81,038 ordinary shares underlying awards pursuant to the Issuer's incentive and compensation arrangements, which shares vest in accordance with the terms of the underlying awards.</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Chief Legal and Corporate Affairs Officer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Mary-Ann Orr, as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62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8"/>
              </w:rPr>
              <w:t>Attorney-in-Fact for</w:t>
            </w:r>
          </w:p>
        </w:tc>
        <w:tc>
          <w:tcPr>
            <w:tcW w:w="560" w:type="dxa"/>
            <w:vAlign w:val="bottom"/>
          </w:tcPr>
          <w:p>
            <w:pPr>
              <w:spacing w:after="0"/>
              <w:rPr>
                <w:sz w:val="19"/>
                <w:szCs w:val="19"/>
                <w:color w:val="auto"/>
              </w:rPr>
            </w:pP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05/18/2026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46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5"/>
              </w:rPr>
              <w:t>Ronan Liam Barry</w:t>
            </w:r>
          </w:p>
        </w:tc>
        <w:tc>
          <w:tcPr>
            <w:tcW w:w="120" w:type="dxa"/>
            <w:vAlign w:val="bottom"/>
            <w:tcBorders>
              <w:top w:val="single" w:sz="8" w:color="auto"/>
            </w:tcBorders>
          </w:tcPr>
          <w:p>
            <w:pPr>
              <w:spacing w:after="0"/>
              <w:rPr>
                <w:sz w:val="19"/>
                <w:szCs w:val="19"/>
                <w:color w:val="auto"/>
              </w:rPr>
            </w:pPr>
          </w:p>
        </w:tc>
        <w:tc>
          <w:tcPr>
            <w:tcW w:w="60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24</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16 AND FORM 144</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27" w:lineRule="exact"/>
        <w:rPr>
          <w:sz w:val="20"/>
          <w:szCs w:val="20"/>
          <w:color w:val="auto"/>
        </w:rPr>
      </w:pPr>
    </w:p>
    <w:p>
      <w:pPr>
        <w:jc w:val="both"/>
        <w:ind w:firstLine="729"/>
        <w:spacing w:after="0" w:line="254" w:lineRule="auto"/>
        <w:rPr>
          <w:sz w:val="20"/>
          <w:szCs w:val="20"/>
          <w:color w:val="auto"/>
        </w:rPr>
      </w:pPr>
      <w:r>
        <w:rPr>
          <w:rFonts w:ascii="Times New Roman" w:cs="Times New Roman" w:eastAsia="Times New Roman" w:hAnsi="Times New Roman"/>
          <w:sz w:val="22"/>
          <w:szCs w:val="22"/>
          <w:color w:val="auto"/>
        </w:rPr>
        <w:t>With respect to holdings of and transactions in securities issued by AIR Global PLC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the undersigned hereby constitutes and appoints the individuals named on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attached hereto and as may be amended from time to time, or any of them signing singly, with full power of substitution and resubstitution, to act as the undersigned’s true and lawful attorney-in-fact to:</w:t>
      </w:r>
    </w:p>
    <w:p>
      <w:pPr>
        <w:spacing w:after="0" w:line="211" w:lineRule="exact"/>
        <w:rPr>
          <w:sz w:val="20"/>
          <w:szCs w:val="20"/>
          <w:color w:val="auto"/>
        </w:rPr>
      </w:pPr>
    </w:p>
    <w:p>
      <w:pPr>
        <w:jc w:val="both"/>
        <w:ind w:left="1280" w:hanging="537"/>
        <w:spacing w:after="0" w:line="249" w:lineRule="auto"/>
        <w:tabs>
          <w:tab w:leader="none" w:pos="12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and Forms 3, 4, and 5 in accordance with Section 16 of the Exchange Act and the rules thereunder, and Notices of Proposed Sale of Securities Pursuant to Rule 144 (</w:t>
      </w:r>
      <w:r>
        <w:rPr>
          <w:rFonts w:ascii="Times New Roman" w:cs="Times New Roman" w:eastAsia="Times New Roman" w:hAnsi="Times New Roman"/>
          <w:sz w:val="22"/>
          <w:szCs w:val="22"/>
          <w:b w:val="1"/>
          <w:bCs w:val="1"/>
          <w:i w:val="1"/>
          <w:iCs w:val="1"/>
          <w:color w:val="auto"/>
        </w:rPr>
        <w:t>“Form 144”</w:t>
      </w:r>
      <w:r>
        <w:rPr>
          <w:rFonts w:ascii="Times New Roman" w:cs="Times New Roman" w:eastAsia="Times New Roman" w:hAnsi="Times New Roman"/>
          <w:sz w:val="22"/>
          <w:szCs w:val="22"/>
          <w:color w:val="auto"/>
        </w:rPr>
        <w:t>), in accordance with the requirements of Rule 144 under the Securities Act of 1933, as amended (the “</w:t>
      </w:r>
      <w:r>
        <w:rPr>
          <w:rFonts w:ascii="Times New Roman" w:cs="Times New Roman" w:eastAsia="Times New Roman" w:hAnsi="Times New Roman"/>
          <w:sz w:val="22"/>
          <w:szCs w:val="22"/>
          <w:b w:val="1"/>
          <w:bCs w:val="1"/>
          <w:i w:val="1"/>
          <w:iCs w:val="1"/>
          <w:color w:val="auto"/>
        </w:rPr>
        <w:t>Securities Act</w:t>
      </w:r>
      <w:r>
        <w:rPr>
          <w:rFonts w:ascii="Times New Roman" w:cs="Times New Roman" w:eastAsia="Times New Roman" w:hAnsi="Times New Roman"/>
          <w:sz w:val="22"/>
          <w:szCs w:val="22"/>
          <w:color w:val="auto"/>
        </w:rPr>
        <w:t>”); and</w:t>
      </w:r>
    </w:p>
    <w:p>
      <w:pPr>
        <w:spacing w:after="0" w:line="218" w:lineRule="exact"/>
        <w:rPr>
          <w:rFonts w:ascii="Times New Roman" w:cs="Times New Roman" w:eastAsia="Times New Roman" w:hAnsi="Times New Roman"/>
          <w:sz w:val="22"/>
          <w:szCs w:val="22"/>
          <w:color w:val="auto"/>
        </w:rPr>
      </w:pPr>
    </w:p>
    <w:p>
      <w:pPr>
        <w:jc w:val="both"/>
        <w:ind w:left="1280" w:hanging="537"/>
        <w:spacing w:after="0" w:line="249" w:lineRule="auto"/>
        <w:tabs>
          <w:tab w:leader="none" w:pos="12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spacing w:after="0" w:line="218" w:lineRule="exact"/>
        <w:rPr>
          <w:sz w:val="20"/>
          <w:szCs w:val="20"/>
          <w:color w:val="auto"/>
        </w:rPr>
      </w:pPr>
    </w:p>
    <w:p>
      <w:pPr>
        <w:jc w:val="both"/>
        <w:ind w:firstLine="729"/>
        <w:spacing w:after="0" w:line="248"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7" w:lineRule="exact"/>
        <w:rPr>
          <w:sz w:val="20"/>
          <w:szCs w:val="20"/>
          <w:color w:val="auto"/>
        </w:rPr>
      </w:pPr>
    </w:p>
    <w:p>
      <w:pPr>
        <w:jc w:val="both"/>
        <w:ind w:firstLine="729"/>
        <w:spacing w:after="0" w:line="257" w:lineRule="auto"/>
        <w:rPr>
          <w:sz w:val="20"/>
          <w:szCs w:val="20"/>
          <w:color w:val="auto"/>
        </w:rPr>
      </w:pPr>
      <w:r>
        <w:rPr>
          <w:rFonts w:ascii="Times New Roman" w:cs="Times New Roman" w:eastAsia="Times New Roman" w:hAnsi="Times New Roman"/>
          <w:sz w:val="22"/>
          <w:szCs w:val="22"/>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spacing w:after="0" w:line="208" w:lineRule="exact"/>
        <w:rPr>
          <w:sz w:val="20"/>
          <w:szCs w:val="20"/>
          <w:color w:val="auto"/>
        </w:rPr>
      </w:pPr>
    </w:p>
    <w:p>
      <w:pPr>
        <w:jc w:val="both"/>
        <w:ind w:firstLine="729"/>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w:t>
      </w:r>
    </w:p>
    <w:p>
      <w:pPr>
        <w:spacing w:after="0" w:line="2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 xml:space="preserve">IN WITNESS WHEREOF, the undersigned has caused this Power of Attorney to be executed as of </w:t>
      </w:r>
      <w:r>
        <w:rPr>
          <w:rFonts w:ascii="Times New Roman" w:cs="Times New Roman" w:eastAsia="Times New Roman" w:hAnsi="Times New Roman"/>
          <w:sz w:val="18"/>
          <w:szCs w:val="18"/>
          <w:color w:val="auto"/>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/s/ Ronan Liam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17145</wp:posOffset>
            </wp:positionV>
            <wp:extent cx="34683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1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Ronan Liam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842645</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836"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u w:val="single" w:color="auto"/>
          <w:color w:val="auto"/>
        </w:rPr>
        <w:t>Schedule A</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INDIVIDUALS APPOINTED AS ATTORNEY-IN-FACT,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WITH FULL POWER OF SUBSTITUTION AND RESUBSTITUTION</w:t>
      </w:r>
    </w:p>
    <w:p>
      <w:pPr>
        <w:spacing w:after="0" w:line="245" w:lineRule="exact"/>
        <w:rPr>
          <w:sz w:val="20"/>
          <w:szCs w:val="20"/>
          <w:color w:val="auto"/>
        </w:rPr>
      </w:pPr>
    </w:p>
    <w:p>
      <w:pPr>
        <w:ind w:left="1220" w:hanging="357"/>
        <w:spacing w:after="0"/>
        <w:tabs>
          <w:tab w:leader="none" w:pos="12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Bassem Lotfy, Chief Financial Officer of the Company</w:t>
      </w:r>
    </w:p>
    <w:p>
      <w:pPr>
        <w:spacing w:after="0" w:line="26" w:lineRule="exact"/>
        <w:rPr>
          <w:rFonts w:ascii="Times New Roman" w:cs="Times New Roman" w:eastAsia="Times New Roman" w:hAnsi="Times New Roman"/>
          <w:sz w:val="22"/>
          <w:szCs w:val="22"/>
          <w:color w:val="auto"/>
        </w:rPr>
      </w:pPr>
    </w:p>
    <w:p>
      <w:pPr>
        <w:ind w:left="1220" w:hanging="357"/>
        <w:spacing w:after="0"/>
        <w:tabs>
          <w:tab w:leader="none" w:pos="12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Ronan Barry, Chief Legal and Corporate Affairs Officer of the Company</w:t>
      </w:r>
    </w:p>
    <w:p>
      <w:pPr>
        <w:spacing w:after="0" w:line="2" w:lineRule="exact"/>
        <w:rPr>
          <w:rFonts w:ascii="Times New Roman" w:cs="Times New Roman" w:eastAsia="Times New Roman" w:hAnsi="Times New Roman"/>
          <w:sz w:val="22"/>
          <w:szCs w:val="22"/>
          <w:color w:val="auto"/>
        </w:rPr>
      </w:pPr>
    </w:p>
    <w:p>
      <w:pPr>
        <w:ind w:left="1220" w:hanging="357"/>
        <w:spacing w:after="0"/>
        <w:tabs>
          <w:tab w:leader="none" w:pos="12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Mary-Ann Orr, Company Secretary of the Company</w:t>
      </w:r>
    </w:p>
    <w:p>
      <w:pPr>
        <w:spacing w:after="0" w:line="2" w:lineRule="exact"/>
        <w:rPr>
          <w:rFonts w:ascii="Times New Roman" w:cs="Times New Roman" w:eastAsia="Times New Roman" w:hAnsi="Times New Roman"/>
          <w:sz w:val="22"/>
          <w:szCs w:val="22"/>
          <w:color w:val="auto"/>
        </w:rPr>
      </w:pPr>
    </w:p>
    <w:p>
      <w:pPr>
        <w:ind w:left="1220" w:hanging="357"/>
        <w:spacing w:after="0"/>
        <w:tabs>
          <w:tab w:leader="none" w:pos="12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Benjamin Long, Group Financial Controller of the Company</w:t>
      </w:r>
    </w:p>
    <w:p>
      <w:pPr>
        <w:spacing w:after="0" w:line="2" w:lineRule="exact"/>
        <w:rPr>
          <w:rFonts w:ascii="Times New Roman" w:cs="Times New Roman" w:eastAsia="Times New Roman" w:hAnsi="Times New Roman"/>
          <w:sz w:val="22"/>
          <w:szCs w:val="22"/>
          <w:color w:val="auto"/>
        </w:rPr>
      </w:pPr>
    </w:p>
    <w:p>
      <w:pPr>
        <w:ind w:left="1220" w:hanging="357"/>
        <w:spacing w:after="0"/>
        <w:tabs>
          <w:tab w:leader="none" w:pos="12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Marc Burrows, Assistant Company Secretary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999490</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019"/>
      </w:cols>
      <w:pgMar w:left="1440" w:top="8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2128795" TargetMode="External"/><Relationship Id="rId11" Type="http://schemas.openxmlformats.org/officeDocument/2006/relationships/hyperlink" Target="http://www.sec.gov/cgi-bin/browse-edgar?action=getcompany&amp;CIK=0002097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2026-05-18T08:26:50Z</dcterms:created>
  <dcterms:modified xsi:type="dcterms:W3CDTF">2026-05-18T08:26:50Z</dcterms:modified>
</cp:coreProperties>
</file>