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1193800</wp:posOffset>
            </wp:positionH>
            <wp:positionV relativeFrom="page">
              <wp:posOffset>997585</wp:posOffset>
            </wp:positionV>
            <wp:extent cx="51606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279400</wp:posOffset>
            </wp:positionH>
            <wp:positionV relativeFrom="paragraph">
              <wp:posOffset>-148590</wp:posOffset>
            </wp:positionV>
            <wp:extent cx="5160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73025</wp:posOffset>
            </wp:positionV>
            <wp:extent cx="1868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92710</wp:posOffset>
            </wp:positionV>
            <wp:extent cx="1868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1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780" w:right="479" w:hanging="333"/>
        <w:spacing w:after="0" w:line="239" w:lineRule="auto"/>
        <w:tabs>
          <w:tab w:leader="none" w:pos="7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SECTION 12(g) OF THE SECURITIES EXCHANGE ACT OF 1934</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780" w:hanging="333"/>
        <w:spacing w:after="0"/>
        <w:tabs>
          <w:tab w:leader="none" w:pos="7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 w:lineRule="exact"/>
        <w:rPr>
          <w:sz w:val="24"/>
          <w:szCs w:val="24"/>
          <w:color w:val="auto"/>
        </w:rPr>
      </w:pPr>
    </w:p>
    <w:p>
      <w:pPr>
        <w:ind w:left="780" w:hanging="333"/>
        <w:spacing w:after="0"/>
        <w:tabs>
          <w:tab w:leader="none" w:pos="78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 w:lineRule="exact"/>
        <w:rPr>
          <w:sz w:val="24"/>
          <w:szCs w:val="24"/>
          <w:color w:val="auto"/>
        </w:rPr>
      </w:pPr>
    </w:p>
    <w:p>
      <w:pPr>
        <w:ind w:left="2640" w:right="539" w:hanging="2193"/>
        <w:spacing w:after="0" w:line="317" w:lineRule="auto"/>
        <w:tabs>
          <w:tab w:leader="none" w:pos="777" w:val="left"/>
        </w:tabs>
        <w:numPr>
          <w:ilvl w:val="0"/>
          <w:numId w:val="4"/>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 xml:space="preserve">SHELL COMPANY REPORT PURSUANT TO SECTION 13 OR 15(d) OF THE SECURITIES EXCHANGE ACT OF 1934 </w:t>
      </w:r>
      <w:r>
        <w:rPr>
          <w:rFonts w:ascii="Times New Roman" w:cs="Times New Roman" w:eastAsia="Times New Roman" w:hAnsi="Times New Roman"/>
          <w:sz w:val="14"/>
          <w:szCs w:val="14"/>
          <w:color w:val="auto"/>
        </w:rPr>
        <w:t>Date of event requiring this shell company report: May 15, 2026</w:t>
      </w:r>
    </w:p>
    <w:p>
      <w:pPr>
        <w:spacing w:after="0" w:line="1" w:lineRule="exact"/>
        <w:rPr>
          <w:sz w:val="24"/>
          <w:szCs w:val="24"/>
          <w:color w:val="auto"/>
        </w:rPr>
      </w:pPr>
    </w:p>
    <w:p>
      <w:pPr>
        <w:ind w:left="2760"/>
        <w:spacing w:after="0"/>
        <w:tabs>
          <w:tab w:leader="none" w:pos="54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3084195</wp:posOffset>
            </wp:positionH>
            <wp:positionV relativeFrom="paragraph">
              <wp:posOffset>-3175</wp:posOffset>
            </wp:positionV>
            <wp:extent cx="411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Commission file number: 001-43297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66675</wp:posOffset>
            </wp:positionV>
            <wp:extent cx="1868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AIR Global PLC</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57785</wp:posOffset>
            </wp:positionV>
            <wp:extent cx="1868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47" w:lineRule="exact"/>
        <w:rPr>
          <w:sz w:val="24"/>
          <w:szCs w:val="24"/>
          <w:color w:val="auto"/>
        </w:rPr>
      </w:pPr>
    </w:p>
    <w:tbl>
      <w:tblPr>
        <w:tblLayout w:type="fixed"/>
        <w:tblInd w:w="440" w:type="dxa"/>
        <w:tblCellMar>
          <w:top w:w="0" w:type="dxa"/>
          <w:left w:w="0" w:type="dxa"/>
          <w:bottom w:w="0" w:type="dxa"/>
          <w:right w:w="0" w:type="dxa"/>
        </w:tblCellMar>
      </w:tblPr>
      <w:tr>
        <w:trPr>
          <w:trHeight w:val="149"/>
        </w:trPr>
        <w:tc>
          <w:tcPr>
            <w:tcW w:w="3260" w:type="dxa"/>
            <w:vAlign w:val="bottom"/>
            <w:gridSpan w:val="4"/>
          </w:tcPr>
          <w:p>
            <w:pPr>
              <w:ind w:left="1560"/>
              <w:spacing w:after="0"/>
              <w:rPr>
                <w:sz w:val="20"/>
                <w:szCs w:val="20"/>
                <w:color w:val="auto"/>
              </w:rPr>
            </w:pPr>
            <w:r>
              <w:rPr>
                <w:rFonts w:ascii="Times New Roman" w:cs="Times New Roman" w:eastAsia="Times New Roman" w:hAnsi="Times New Roman"/>
                <w:sz w:val="13"/>
                <w:szCs w:val="13"/>
                <w:b w:val="1"/>
                <w:bCs w:val="1"/>
                <w:color w:val="auto"/>
              </w:rPr>
              <w:t>Not applicable</w:t>
            </w:r>
          </w:p>
        </w:tc>
        <w:tc>
          <w:tcPr>
            <w:tcW w:w="1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rPr>
              <w:t>Jersey</w:t>
            </w:r>
          </w:p>
        </w:tc>
        <w:tc>
          <w:tcPr>
            <w:tcW w:w="0" w:type="dxa"/>
            <w:vAlign w:val="bottom"/>
          </w:tcPr>
          <w:p>
            <w:pPr>
              <w:spacing w:after="0"/>
              <w:rPr>
                <w:sz w:val="1"/>
                <w:szCs w:val="1"/>
                <w:color w:val="auto"/>
              </w:rPr>
            </w:pPr>
          </w:p>
        </w:tc>
      </w:tr>
      <w:tr>
        <w:trPr>
          <w:trHeight w:val="164"/>
        </w:trPr>
        <w:tc>
          <w:tcPr>
            <w:tcW w:w="3260" w:type="dxa"/>
            <w:vAlign w:val="bottom"/>
            <w:gridSpan w:val="4"/>
          </w:tcPr>
          <w:p>
            <w:pPr>
              <w:ind w:left="760"/>
              <w:spacing w:after="0"/>
              <w:rPr>
                <w:sz w:val="20"/>
                <w:szCs w:val="20"/>
                <w:color w:val="auto"/>
              </w:rPr>
            </w:pPr>
            <w:r>
              <w:rPr>
                <w:rFonts w:ascii="Times New Roman" w:cs="Times New Roman" w:eastAsia="Times New Roman" w:hAnsi="Times New Roman"/>
                <w:sz w:val="13"/>
                <w:szCs w:val="13"/>
                <w:color w:val="auto"/>
              </w:rPr>
              <w:t>(Translation of Registrant’s name into English)</w:t>
            </w:r>
          </w:p>
        </w:tc>
        <w:tc>
          <w:tcPr>
            <w:tcW w:w="1440" w:type="dxa"/>
            <w:vAlign w:val="bottom"/>
          </w:tcPr>
          <w:p>
            <w:pPr>
              <w:spacing w:after="0"/>
              <w:rPr>
                <w:sz w:val="14"/>
                <w:szCs w:val="14"/>
                <w:color w:val="auto"/>
              </w:rPr>
            </w:pPr>
          </w:p>
        </w:tc>
        <w:tc>
          <w:tcPr>
            <w:tcW w:w="34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(Jurisdiction of incorporation or organization)</w:t>
            </w:r>
          </w:p>
        </w:tc>
        <w:tc>
          <w:tcPr>
            <w:tcW w:w="0" w:type="dxa"/>
            <w:vAlign w:val="bottom"/>
          </w:tcPr>
          <w:p>
            <w:pPr>
              <w:spacing w:after="0"/>
              <w:rPr>
                <w:sz w:val="1"/>
                <w:szCs w:val="1"/>
                <w:color w:val="auto"/>
              </w:rPr>
            </w:pPr>
          </w:p>
        </w:tc>
      </w:tr>
      <w:tr>
        <w:trPr>
          <w:trHeight w:val="245"/>
        </w:trPr>
        <w:tc>
          <w:tcPr>
            <w:tcW w:w="3260" w:type="dxa"/>
            <w:vAlign w:val="bottom"/>
            <w:gridSpan w:val="4"/>
          </w:tcPr>
          <w:p>
            <w:pPr>
              <w:jc w:val="center"/>
              <w:ind w:left="757"/>
              <w:spacing w:after="0"/>
              <w:rPr>
                <w:sz w:val="20"/>
                <w:szCs w:val="20"/>
                <w:color w:val="auto"/>
              </w:rPr>
            </w:pPr>
            <w:r>
              <w:rPr>
                <w:rFonts w:ascii="Times New Roman" w:cs="Times New Roman" w:eastAsia="Times New Roman" w:hAnsi="Times New Roman"/>
                <w:sz w:val="13"/>
                <w:szCs w:val="13"/>
                <w:b w:val="1"/>
                <w:bCs w:val="1"/>
                <w:color w:val="auto"/>
                <w:w w:val="97"/>
              </w:rPr>
              <w:t>AIR Global PLC</w:t>
            </w: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Pr>
          <w:p>
            <w:pPr>
              <w:jc w:val="center"/>
              <w:ind w:right="1418"/>
              <w:spacing w:after="0"/>
              <w:rPr>
                <w:sz w:val="20"/>
                <w:szCs w:val="20"/>
                <w:color w:val="auto"/>
              </w:rPr>
            </w:pPr>
            <w:r>
              <w:rPr>
                <w:rFonts w:ascii="Times New Roman" w:cs="Times New Roman" w:eastAsia="Times New Roman" w:hAnsi="Times New Roman"/>
                <w:sz w:val="13"/>
                <w:szCs w:val="13"/>
                <w:b w:val="1"/>
                <w:bCs w:val="1"/>
                <w:color w:val="auto"/>
                <w:w w:val="96"/>
              </w:rPr>
              <w:t>Stuart Brazier</w:t>
            </w:r>
          </w:p>
        </w:tc>
        <w:tc>
          <w:tcPr>
            <w:tcW w:w="0" w:type="dxa"/>
            <w:vAlign w:val="bottom"/>
          </w:tcPr>
          <w:p>
            <w:pPr>
              <w:spacing w:after="0"/>
              <w:rPr>
                <w:sz w:val="1"/>
                <w:szCs w:val="1"/>
                <w:color w:val="auto"/>
              </w:rPr>
            </w:pPr>
          </w:p>
        </w:tc>
      </w:tr>
      <w:tr>
        <w:trPr>
          <w:trHeight w:val="135"/>
        </w:trPr>
        <w:tc>
          <w:tcPr>
            <w:tcW w:w="3260" w:type="dxa"/>
            <w:vAlign w:val="bottom"/>
            <w:gridSpan w:val="4"/>
          </w:tcPr>
          <w:p>
            <w:pPr>
              <w:jc w:val="center"/>
              <w:ind w:left="7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Festival Office Tower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gridSpan w:val="2"/>
          </w:tcPr>
          <w:p>
            <w:pPr>
              <w:jc w:val="center"/>
              <w:ind w:right="12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Chief Executive Officer</w:t>
            </w:r>
          </w:p>
        </w:tc>
        <w:tc>
          <w:tcPr>
            <w:tcW w:w="0" w:type="dxa"/>
            <w:vAlign w:val="bottom"/>
          </w:tcPr>
          <w:p>
            <w:pPr>
              <w:spacing w:after="0"/>
              <w:rPr>
                <w:sz w:val="1"/>
                <w:szCs w:val="1"/>
                <w:color w:val="auto"/>
              </w:rPr>
            </w:pPr>
          </w:p>
        </w:tc>
      </w:tr>
      <w:tr>
        <w:trPr>
          <w:trHeight w:val="135"/>
        </w:trPr>
        <w:tc>
          <w:tcPr>
            <w:tcW w:w="3260" w:type="dxa"/>
            <w:vAlign w:val="bottom"/>
            <w:gridSpan w:val="4"/>
          </w:tcPr>
          <w:p>
            <w:pPr>
              <w:jc w:val="center"/>
              <w:ind w:left="7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Dubai Festival City, 7th Floor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gridSpan w:val="2"/>
          </w:tcPr>
          <w:p>
            <w:pPr>
              <w:jc w:val="center"/>
              <w:ind w:right="1278"/>
              <w:spacing w:after="0" w:line="135" w:lineRule="exact"/>
              <w:rPr>
                <w:sz w:val="20"/>
                <w:szCs w:val="20"/>
                <w:color w:val="auto"/>
              </w:rPr>
            </w:pPr>
            <w:r>
              <w:rPr>
                <w:rFonts w:ascii="Times New Roman" w:cs="Times New Roman" w:eastAsia="Times New Roman" w:hAnsi="Times New Roman"/>
                <w:sz w:val="13"/>
                <w:szCs w:val="13"/>
                <w:b w:val="1"/>
                <w:bCs w:val="1"/>
                <w:color w:val="auto"/>
                <w:w w:val="96"/>
              </w:rPr>
              <w:t>Festival Office Tower</w:t>
            </w:r>
          </w:p>
        </w:tc>
        <w:tc>
          <w:tcPr>
            <w:tcW w:w="0" w:type="dxa"/>
            <w:vAlign w:val="bottom"/>
          </w:tcPr>
          <w:p>
            <w:pPr>
              <w:spacing w:after="0"/>
              <w:rPr>
                <w:sz w:val="1"/>
                <w:szCs w:val="1"/>
                <w:color w:val="auto"/>
              </w:rPr>
            </w:pPr>
          </w:p>
        </w:tc>
      </w:tr>
      <w:tr>
        <w:trPr>
          <w:trHeight w:val="135"/>
        </w:trPr>
        <w:tc>
          <w:tcPr>
            <w:tcW w:w="3260" w:type="dxa"/>
            <w:vAlign w:val="bottom"/>
            <w:gridSpan w:val="4"/>
          </w:tcPr>
          <w:p>
            <w:pPr>
              <w:jc w:val="center"/>
              <w:ind w:left="7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Office No. 700</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940" w:type="dxa"/>
            <w:vAlign w:val="bottom"/>
            <w:gridSpan w:val="3"/>
          </w:tcPr>
          <w:p>
            <w:pPr>
              <w:jc w:val="center"/>
              <w:ind w:right="10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Dubai Festival City, 7th Floor</w:t>
            </w:r>
          </w:p>
        </w:tc>
        <w:tc>
          <w:tcPr>
            <w:tcW w:w="0" w:type="dxa"/>
            <w:vAlign w:val="bottom"/>
          </w:tcPr>
          <w:p>
            <w:pPr>
              <w:spacing w:after="0"/>
              <w:rPr>
                <w:sz w:val="1"/>
                <w:szCs w:val="1"/>
                <w:color w:val="auto"/>
              </w:rPr>
            </w:pPr>
          </w:p>
        </w:tc>
      </w:tr>
      <w:tr>
        <w:trPr>
          <w:trHeight w:val="135"/>
        </w:trPr>
        <w:tc>
          <w:tcPr>
            <w:tcW w:w="3260" w:type="dxa"/>
            <w:vAlign w:val="bottom"/>
            <w:gridSpan w:val="4"/>
          </w:tcPr>
          <w:p>
            <w:pPr>
              <w:jc w:val="center"/>
              <w:ind w:left="7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Dubai, United Arab Emirates</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jc w:val="center"/>
              <w:ind w:right="139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Office No. 700</w:t>
            </w:r>
          </w:p>
        </w:tc>
        <w:tc>
          <w:tcPr>
            <w:tcW w:w="0" w:type="dxa"/>
            <w:vAlign w:val="bottom"/>
          </w:tcPr>
          <w:p>
            <w:pPr>
              <w:spacing w:after="0"/>
              <w:rPr>
                <w:sz w:val="1"/>
                <w:szCs w:val="1"/>
                <w:color w:val="auto"/>
              </w:rPr>
            </w:pPr>
          </w:p>
        </w:tc>
      </w:tr>
      <w:tr>
        <w:trPr>
          <w:trHeight w:val="135"/>
        </w:trPr>
        <w:tc>
          <w:tcPr>
            <w:tcW w:w="3260" w:type="dxa"/>
            <w:vAlign w:val="bottom"/>
            <w:gridSpan w:val="4"/>
          </w:tcPr>
          <w:p>
            <w:pPr>
              <w:jc w:val="center"/>
              <w:ind w:left="757"/>
              <w:spacing w:after="0" w:line="135" w:lineRule="exact"/>
              <w:rPr>
                <w:sz w:val="20"/>
                <w:szCs w:val="20"/>
                <w:color w:val="auto"/>
              </w:rPr>
            </w:pPr>
            <w:r>
              <w:rPr>
                <w:rFonts w:ascii="Times New Roman" w:cs="Times New Roman" w:eastAsia="Times New Roman" w:hAnsi="Times New Roman"/>
                <w:sz w:val="13"/>
                <w:szCs w:val="13"/>
                <w:color w:val="auto"/>
                <w:w w:val="95"/>
              </w:rPr>
              <w:t>Telephone: +971 4 292 3000</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940" w:type="dxa"/>
            <w:vAlign w:val="bottom"/>
            <w:gridSpan w:val="3"/>
          </w:tcPr>
          <w:p>
            <w:pPr>
              <w:jc w:val="center"/>
              <w:ind w:right="1078"/>
              <w:spacing w:after="0" w:line="135" w:lineRule="exact"/>
              <w:rPr>
                <w:sz w:val="20"/>
                <w:szCs w:val="20"/>
                <w:color w:val="auto"/>
              </w:rPr>
            </w:pPr>
            <w:r>
              <w:rPr>
                <w:rFonts w:ascii="Times New Roman" w:cs="Times New Roman" w:eastAsia="Times New Roman" w:hAnsi="Times New Roman"/>
                <w:sz w:val="13"/>
                <w:szCs w:val="13"/>
                <w:b w:val="1"/>
                <w:bCs w:val="1"/>
                <w:color w:val="auto"/>
                <w:w w:val="97"/>
              </w:rPr>
              <w:t>Dubai, United Arab Emirates</w:t>
            </w:r>
          </w:p>
        </w:tc>
        <w:tc>
          <w:tcPr>
            <w:tcW w:w="0" w:type="dxa"/>
            <w:vAlign w:val="bottom"/>
          </w:tcPr>
          <w:p>
            <w:pPr>
              <w:spacing w:after="0"/>
              <w:rPr>
                <w:sz w:val="1"/>
                <w:szCs w:val="1"/>
                <w:color w:val="auto"/>
              </w:rPr>
            </w:pPr>
          </w:p>
        </w:tc>
      </w:tr>
      <w:tr>
        <w:trPr>
          <w:trHeight w:val="127"/>
        </w:trPr>
        <w:tc>
          <w:tcPr>
            <w:tcW w:w="2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940" w:type="dxa"/>
            <w:vAlign w:val="bottom"/>
            <w:gridSpan w:val="3"/>
          </w:tcPr>
          <w:p>
            <w:pPr>
              <w:jc w:val="center"/>
              <w:ind w:right="1058"/>
              <w:spacing w:after="0" w:line="127" w:lineRule="exact"/>
              <w:rPr>
                <w:sz w:val="20"/>
                <w:szCs w:val="20"/>
                <w:color w:val="auto"/>
              </w:rPr>
            </w:pPr>
            <w:r>
              <w:rPr>
                <w:rFonts w:ascii="Times New Roman" w:cs="Times New Roman" w:eastAsia="Times New Roman" w:hAnsi="Times New Roman"/>
                <w:sz w:val="13"/>
                <w:szCs w:val="13"/>
                <w:color w:val="auto"/>
                <w:w w:val="97"/>
              </w:rPr>
              <w:t>Telephone: +971 4 292 3000</w:t>
            </w:r>
          </w:p>
        </w:tc>
        <w:tc>
          <w:tcPr>
            <w:tcW w:w="0" w:type="dxa"/>
            <w:vAlign w:val="bottom"/>
          </w:tcPr>
          <w:p>
            <w:pPr>
              <w:spacing w:after="0"/>
              <w:rPr>
                <w:sz w:val="1"/>
                <w:szCs w:val="1"/>
                <w:color w:val="auto"/>
              </w:rPr>
            </w:pPr>
          </w:p>
        </w:tc>
      </w:tr>
      <w:tr>
        <w:trPr>
          <w:trHeight w:val="135"/>
        </w:trPr>
        <w:tc>
          <w:tcPr>
            <w:tcW w:w="3260" w:type="dxa"/>
            <w:vAlign w:val="bottom"/>
            <w:gridSpan w:val="4"/>
            <w:vMerge w:val="restart"/>
          </w:tcPr>
          <w:p>
            <w:pPr>
              <w:jc w:val="center"/>
              <w:ind w:left="757"/>
              <w:spacing w:after="0"/>
              <w:rPr>
                <w:sz w:val="20"/>
                <w:szCs w:val="20"/>
                <w:color w:val="auto"/>
              </w:rPr>
            </w:pPr>
            <w:r>
              <w:rPr>
                <w:rFonts w:ascii="Times New Roman" w:cs="Times New Roman" w:eastAsia="Times New Roman" w:hAnsi="Times New Roman"/>
                <w:sz w:val="12"/>
                <w:szCs w:val="12"/>
                <w:color w:val="auto"/>
                <w:w w:val="96"/>
              </w:rPr>
              <w:t>(Address of principal executive offices)</w:t>
            </w:r>
          </w:p>
        </w:tc>
        <w:tc>
          <w:tcPr>
            <w:tcW w:w="4860" w:type="dxa"/>
            <w:vAlign w:val="bottom"/>
            <w:gridSpan w:val="5"/>
          </w:tcPr>
          <w:p>
            <w:pPr>
              <w:jc w:val="center"/>
              <w:ind w:left="739"/>
              <w:spacing w:after="0" w:line="135" w:lineRule="exact"/>
              <w:rPr>
                <w:sz w:val="20"/>
                <w:szCs w:val="20"/>
                <w:color w:val="auto"/>
              </w:rPr>
            </w:pPr>
            <w:r>
              <w:rPr>
                <w:rFonts w:ascii="Times New Roman" w:cs="Times New Roman" w:eastAsia="Times New Roman" w:hAnsi="Times New Roman"/>
                <w:sz w:val="12"/>
                <w:szCs w:val="12"/>
                <w:color w:val="auto"/>
                <w:w w:val="97"/>
              </w:rPr>
              <w:t>(Name, Telephone, Email and/or Facsimile number and Address of Company Contact</w:t>
            </w:r>
          </w:p>
        </w:tc>
        <w:tc>
          <w:tcPr>
            <w:tcW w:w="0" w:type="dxa"/>
            <w:vAlign w:val="bottom"/>
          </w:tcPr>
          <w:p>
            <w:pPr>
              <w:spacing w:after="0"/>
              <w:rPr>
                <w:sz w:val="1"/>
                <w:szCs w:val="1"/>
                <w:color w:val="auto"/>
              </w:rPr>
            </w:pPr>
          </w:p>
        </w:tc>
      </w:tr>
      <w:tr>
        <w:trPr>
          <w:trHeight w:val="150"/>
        </w:trPr>
        <w:tc>
          <w:tcPr>
            <w:tcW w:w="3260" w:type="dxa"/>
            <w:vAlign w:val="bottom"/>
            <w:gridSpan w:val="4"/>
            <w:vMerge w:val="continue"/>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tcPr>
          <w:p>
            <w:pPr>
              <w:jc w:val="center"/>
              <w:ind w:right="1398"/>
              <w:spacing w:after="0"/>
              <w:rPr>
                <w:sz w:val="20"/>
                <w:szCs w:val="20"/>
                <w:color w:val="auto"/>
              </w:rPr>
            </w:pPr>
            <w:r>
              <w:rPr>
                <w:rFonts w:ascii="Times New Roman" w:cs="Times New Roman" w:eastAsia="Times New Roman" w:hAnsi="Times New Roman"/>
                <w:sz w:val="12"/>
                <w:szCs w:val="12"/>
                <w:color w:val="auto"/>
                <w:w w:val="98"/>
              </w:rPr>
              <w:t>Person)</w:t>
            </w:r>
          </w:p>
        </w:tc>
        <w:tc>
          <w:tcPr>
            <w:tcW w:w="0" w:type="dxa"/>
            <w:vAlign w:val="bottom"/>
          </w:tcPr>
          <w:p>
            <w:pPr>
              <w:spacing w:after="0"/>
              <w:rPr>
                <w:sz w:val="1"/>
                <w:szCs w:val="1"/>
                <w:color w:val="auto"/>
              </w:rPr>
            </w:pPr>
          </w:p>
        </w:tc>
      </w:tr>
      <w:tr>
        <w:trPr>
          <w:trHeight w:val="87"/>
        </w:trPr>
        <w:tc>
          <w:tcPr>
            <w:tcW w:w="2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100" w:type="dxa"/>
            <w:vAlign w:val="bottom"/>
            <w:tcBorders>
              <w:bottom w:val="single" w:sz="8" w:color="auto"/>
            </w:tcBorders>
            <w:gridSpan w:val="2"/>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70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12(b) of the Act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6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440" w:type="dxa"/>
            <w:vAlign w:val="bottom"/>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55"/>
        </w:trPr>
        <w:tc>
          <w:tcPr>
            <w:tcW w:w="23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3"/>
                <w:szCs w:val="13"/>
                <w:color w:val="auto"/>
              </w:rPr>
              <w:t>Ordinary Shares</w:t>
            </w:r>
          </w:p>
        </w:tc>
        <w:tc>
          <w:tcPr>
            <w:tcW w:w="220" w:type="dxa"/>
            <w:vAlign w:val="bottom"/>
          </w:tcPr>
          <w:p>
            <w:pPr>
              <w:spacing w:after="0"/>
              <w:rPr>
                <w:sz w:val="13"/>
                <w:szCs w:val="13"/>
                <w:color w:val="auto"/>
              </w:rPr>
            </w:pPr>
          </w:p>
        </w:tc>
        <w:tc>
          <w:tcPr>
            <w:tcW w:w="700" w:type="dxa"/>
            <w:vAlign w:val="bottom"/>
            <w:tcBorders>
              <w:bottom w:val="single" w:sz="8" w:color="auto"/>
            </w:tcBorders>
            <w:gridSpan w:val="2"/>
          </w:tcPr>
          <w:p>
            <w:pPr>
              <w:spacing w:after="0"/>
              <w:rPr>
                <w:sz w:val="13"/>
                <w:szCs w:val="13"/>
                <w:color w:val="auto"/>
              </w:rPr>
            </w:pPr>
          </w:p>
        </w:tc>
        <w:tc>
          <w:tcPr>
            <w:tcW w:w="14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3"/>
                <w:szCs w:val="13"/>
                <w:color w:val="auto"/>
                <w:w w:val="97"/>
              </w:rPr>
              <w:t>AIIR</w:t>
            </w:r>
          </w:p>
        </w:tc>
        <w:tc>
          <w:tcPr>
            <w:tcW w:w="4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The Nasdaq Capital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2"/>
          <w:szCs w:val="12"/>
          <w:color w:val="auto"/>
        </w:rPr>
        <w:t>Securities registered or to be registered pursuant to Section 12(g) of the Act: None</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2"/>
          <w:szCs w:val="12"/>
          <w:color w:val="auto"/>
        </w:rPr>
        <w:t>Securities for which there is a reporting obligation pursuant to Section 15(d) of the Act: None</w:t>
      </w:r>
    </w:p>
    <w:p>
      <w:pPr>
        <w:spacing w:after="0" w:line="8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1"/>
          <w:szCs w:val="11"/>
          <w:color w:val="auto"/>
        </w:rPr>
        <w:t>Indicate the number of outstanding shares of each of the issuer’s classes of capital stock or common stock as of the close of the period covered by the shell company report:</w:t>
      </w:r>
    </w:p>
    <w:p>
      <w:pPr>
        <w:spacing w:after="0" w:line="6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2"/>
          <w:szCs w:val="12"/>
          <w:color w:val="auto"/>
        </w:rPr>
        <w:t>On May 15, 2026, the issuer had 160,386,602 ordinary shares outstanding.</w:t>
      </w:r>
    </w:p>
    <w:p>
      <w:pPr>
        <w:spacing w:after="0" w:line="25" w:lineRule="exact"/>
        <w:rPr>
          <w:sz w:val="24"/>
          <w:szCs w:val="24"/>
          <w:color w:val="auto"/>
        </w:rPr>
      </w:pPr>
    </w:p>
    <w:p>
      <w:pPr>
        <w:ind w:left="440"/>
        <w:spacing w:after="0" w:line="138" w:lineRule="exact"/>
        <w:tabs>
          <w:tab w:leader="none" w:pos="6020" w:val="left"/>
          <w:tab w:leader="none" w:pos="6500" w:val="left"/>
        </w:tabs>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77" w:lineRule="exact"/>
        <w:rPr>
          <w:sz w:val="24"/>
          <w:szCs w:val="24"/>
          <w:color w:val="auto"/>
        </w:rPr>
      </w:pPr>
    </w:p>
    <w:p>
      <w:pPr>
        <w:jc w:val="both"/>
        <w:ind w:left="440" w:right="459"/>
        <w:spacing w:after="0" w:line="153" w:lineRule="exact"/>
        <w:rPr>
          <w:sz w:val="20"/>
          <w:szCs w:val="20"/>
          <w:color w:val="auto"/>
        </w:rPr>
      </w:pPr>
      <w:r>
        <w:rPr>
          <w:rFonts w:ascii="Times New Roman" w:cs="Times New Roman" w:eastAsia="Times New Roman" w:hAnsi="Times New Roman"/>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440" w:right="459"/>
        <w:spacing w:after="0" w:line="14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440" w:right="459"/>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ind w:left="440" w:right="459"/>
        <w:spacing w:after="0" w:line="25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58" w:lineRule="exact"/>
        <w:rPr>
          <w:sz w:val="24"/>
          <w:szCs w:val="24"/>
          <w:color w:val="auto"/>
        </w:rPr>
      </w:pPr>
    </w:p>
    <w:p>
      <w:pPr>
        <w:ind w:left="860"/>
        <w:spacing w:after="0" w:line="138" w:lineRule="exact"/>
        <w:tabs>
          <w:tab w:leader="none" w:pos="3000" w:val="left"/>
          <w:tab w:leader="none" w:pos="4880" w:val="left"/>
          <w:tab w:leader="none" w:pos="5120" w:val="left"/>
          <w:tab w:leader="none" w:pos="6780" w:val="left"/>
        </w:tabs>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Large 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Emerging growth company</w:t>
      </w:r>
    </w:p>
    <w:p>
      <w:pPr>
        <w:spacing w:after="0" w:line="131" w:lineRule="exact"/>
        <w:rPr>
          <w:sz w:val="24"/>
          <w:szCs w:val="24"/>
          <w:color w:val="auto"/>
        </w:rPr>
      </w:pPr>
    </w:p>
    <w:p>
      <w:pPr>
        <w:jc w:val="both"/>
        <w:ind w:left="440" w:right="459"/>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left="440" w:right="459" w:firstLine="1"/>
        <w:spacing w:after="0" w:line="255" w:lineRule="auto"/>
        <w:tabs>
          <w:tab w:leader="none" w:pos="5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“new or revised financial accounting standard” refers to any update issued by the Financial Accounting Standards Board to its Accounting Standards Codification after April 5, 2012.</w:t>
      </w:r>
    </w:p>
    <w:p>
      <w:pPr>
        <w:spacing w:after="0" w:line="31" w:lineRule="exact"/>
        <w:rPr>
          <w:sz w:val="24"/>
          <w:szCs w:val="24"/>
          <w:color w:val="auto"/>
        </w:rPr>
      </w:pPr>
    </w:p>
    <w:p>
      <w:pPr>
        <w:ind w:left="440" w:right="459"/>
        <w:spacing w:after="0" w:line="15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p>
      <w:pPr>
        <w:spacing w:after="0" w:line="79" w:lineRule="exact"/>
        <w:rPr>
          <w:sz w:val="24"/>
          <w:szCs w:val="24"/>
          <w:color w:val="auto"/>
        </w:rPr>
      </w:pPr>
    </w:p>
    <w:p>
      <w:pPr>
        <w:ind w:left="720"/>
        <w:spacing w:after="0" w:line="138" w:lineRule="exact"/>
        <w:tabs>
          <w:tab w:leader="none" w:pos="1820" w:val="left"/>
          <w:tab w:leader="none" w:pos="7740" w:val="left"/>
        </w:tabs>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U.S. GAAP</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Other</w:t>
      </w:r>
    </w:p>
    <w:p>
      <w:pPr>
        <w:spacing w:after="0" w:line="105" w:lineRule="exact"/>
        <w:rPr>
          <w:sz w:val="24"/>
          <w:szCs w:val="24"/>
          <w:color w:val="auto"/>
        </w:rPr>
      </w:pPr>
    </w:p>
    <w:p>
      <w:pPr>
        <w:ind w:left="440" w:right="459"/>
        <w:spacing w:after="0" w:line="166" w:lineRule="exact"/>
        <w:rPr>
          <w:sz w:val="20"/>
          <w:szCs w:val="20"/>
          <w:color w:val="auto"/>
        </w:rPr>
      </w:pPr>
      <w:r>
        <w:rPr>
          <w:rFonts w:ascii="Times New Roman" w:cs="Times New Roman" w:eastAsia="Times New Roman" w:hAnsi="Times New Roman"/>
          <w:sz w:val="12"/>
          <w:szCs w:val="12"/>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Item 18 </w:t>
      </w:r>
      <w:r>
        <w:rPr>
          <w:rFonts w:ascii="MS PGothic" w:cs="MS PGothic" w:eastAsia="MS PGothic" w:hAnsi="MS PGothic"/>
          <w:sz w:val="12"/>
          <w:szCs w:val="12"/>
          <w:color w:val="auto"/>
        </w:rPr>
        <w:t>☐</w:t>
      </w:r>
    </w:p>
    <w:p>
      <w:pPr>
        <w:ind w:left="440"/>
        <w:spacing w:after="0" w:line="138" w:lineRule="exact"/>
        <w:tabs>
          <w:tab w:leader="none" w:pos="7080" w:val="left"/>
          <w:tab w:leader="none" w:pos="7540" w:val="left"/>
        </w:tabs>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1082675</wp:posOffset>
            </wp:positionV>
            <wp:extent cx="684911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9110" cy="425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41275</wp:posOffset>
            </wp:positionV>
            <wp:extent cx="5160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064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58420</wp:posOffset>
            </wp:positionV>
            <wp:extent cx="5160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20" w:type="dxa"/>
            <w:vAlign w:val="bottom"/>
            <w:gridSpan w:val="15"/>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EXPLANATORY NOTE</w:t>
            </w:r>
          </w:p>
        </w:tc>
        <w:tc>
          <w:tcPr>
            <w:tcW w:w="5460" w:type="dxa"/>
            <w:vAlign w:val="bottom"/>
            <w:gridSpan w:val="17"/>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412"/>
        </w:trPr>
        <w:tc>
          <w:tcPr>
            <w:tcW w:w="1300" w:type="dxa"/>
            <w:vAlign w:val="bottom"/>
          </w:tcPr>
          <w:p>
            <w:pPr>
              <w:spacing w:after="0"/>
              <w:rPr>
                <w:sz w:val="24"/>
                <w:szCs w:val="24"/>
                <w:color w:val="auto"/>
              </w:rPr>
            </w:pPr>
          </w:p>
        </w:tc>
        <w:tc>
          <w:tcPr>
            <w:tcW w:w="6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1240" w:type="dxa"/>
            <w:vAlign w:val="bottom"/>
            <w:gridSpan w:val="6"/>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412"/>
        </w:trPr>
        <w:tc>
          <w:tcPr>
            <w:tcW w:w="1300" w:type="dxa"/>
            <w:vAlign w:val="bottom"/>
          </w:tcPr>
          <w:p>
            <w:pPr>
              <w:spacing w:after="0"/>
              <w:rPr>
                <w:sz w:val="24"/>
                <w:szCs w:val="24"/>
                <w:color w:val="auto"/>
              </w:rPr>
            </w:pPr>
          </w:p>
        </w:tc>
        <w:tc>
          <w:tcPr>
            <w:tcW w:w="74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58"/>
        </w:trPr>
        <w:tc>
          <w:tcPr>
            <w:tcW w:w="13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rPr>
              <w:t>ITEM 1. IDENTITY OF DIRECTORS, SENIOR MANAGEMENT AND ADVISERS</w:t>
            </w:r>
          </w:p>
        </w:tc>
        <w:tc>
          <w:tcPr>
            <w:tcW w:w="40" w:type="dxa"/>
            <w:vAlign w:val="bottom"/>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2. OFFER STATISTICS AND EXPECTED TIMETABLE</w:t>
            </w:r>
          </w:p>
        </w:tc>
        <w:tc>
          <w:tcPr>
            <w:tcW w:w="1620" w:type="dxa"/>
            <w:vAlign w:val="bottom"/>
            <w:gridSpan w:val="7"/>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ITEM 3. KEY INFORMATION</w:t>
            </w:r>
          </w:p>
        </w:tc>
        <w:tc>
          <w:tcPr>
            <w:tcW w:w="4140" w:type="dxa"/>
            <w:vAlign w:val="bottom"/>
            <w:gridSpan w:val="14"/>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ITEM 4. INFORMATION ON THE COMPANY</w:t>
            </w:r>
          </w:p>
        </w:tc>
        <w:tc>
          <w:tcPr>
            <w:tcW w:w="2860" w:type="dxa"/>
            <w:vAlign w:val="bottom"/>
            <w:gridSpan w:val="9"/>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rPr>
              <w:t>ITEM 4A. UNRESOLVED STAFF COMMENTS</w:t>
            </w:r>
          </w:p>
        </w:tc>
        <w:tc>
          <w:tcPr>
            <w:tcW w:w="2800" w:type="dxa"/>
            <w:vAlign w:val="bottom"/>
            <w:gridSpan w:val="8"/>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ITEM 5. OPERATING AND FINANCIAL REVIEW AND PROSPECTS</w:t>
            </w:r>
          </w:p>
        </w:tc>
        <w:tc>
          <w:tcPr>
            <w:tcW w:w="1000" w:type="dxa"/>
            <w:vAlign w:val="bottom"/>
            <w:gridSpan w:val="4"/>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ITEM 6. DIRECTORS, SENIOR MANAGEMENT AND EMPLOYEES</w:t>
            </w:r>
          </w:p>
        </w:tc>
        <w:tc>
          <w:tcPr>
            <w:tcW w:w="1060" w:type="dxa"/>
            <w:vAlign w:val="bottom"/>
            <w:gridSpan w:val="5"/>
          </w:tcPr>
          <w:p>
            <w:pPr>
              <w:spacing w:after="0"/>
              <w:rPr>
                <w:sz w:val="24"/>
                <w:szCs w:val="24"/>
                <w:color w:val="auto"/>
              </w:rPr>
            </w:pPr>
          </w:p>
        </w:tc>
        <w:tc>
          <w:tcPr>
            <w:tcW w:w="198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7. MAJOR SHAREHOLDERS AND RELATED PARTY TRANSACTIONS</w:t>
            </w:r>
          </w:p>
        </w:tc>
        <w:tc>
          <w:tcPr>
            <w:tcW w:w="22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rPr>
              <w:t>ITEM 8. FINANCIAL INFORMATION</w:t>
            </w:r>
          </w:p>
        </w:tc>
        <w:tc>
          <w:tcPr>
            <w:tcW w:w="3520" w:type="dxa"/>
            <w:vAlign w:val="bottom"/>
            <w:gridSpan w:val="11"/>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9. THE OFFER AND LISTING</w:t>
            </w:r>
          </w:p>
        </w:tc>
        <w:tc>
          <w:tcPr>
            <w:tcW w:w="3660" w:type="dxa"/>
            <w:vAlign w:val="bottom"/>
            <w:gridSpan w:val="1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ITEM 10. ADDITIONAL INFORMATION</w:t>
            </w:r>
          </w:p>
        </w:tc>
        <w:tc>
          <w:tcPr>
            <w:tcW w:w="3280" w:type="dxa"/>
            <w:vAlign w:val="bottom"/>
            <w:gridSpan w:val="1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11. QUANTITATIVE AND QUALITATIVE DISCLOSURES ABOUT</w:t>
            </w:r>
          </w:p>
        </w:tc>
        <w:tc>
          <w:tcPr>
            <w:tcW w:w="66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MARKET RISK</w:t>
            </w:r>
          </w:p>
        </w:tc>
        <w:tc>
          <w:tcPr>
            <w:tcW w:w="4720" w:type="dxa"/>
            <w:vAlign w:val="bottom"/>
            <w:gridSpan w:val="15"/>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12. DESCRIPTION OF SECURITIES OTHER THAN EQUITY SECURITIES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32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740" w:type="dxa"/>
            <w:vAlign w:val="bottom"/>
            <w:gridSpan w:val="21"/>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320" w:type="dxa"/>
            <w:vAlign w:val="bottom"/>
          </w:tcPr>
          <w:p>
            <w:pPr>
              <w:spacing w:after="0"/>
              <w:rPr>
                <w:sz w:val="24"/>
                <w:szCs w:val="24"/>
                <w:color w:val="auto"/>
              </w:rPr>
            </w:pPr>
          </w:p>
        </w:tc>
      </w:tr>
      <w:tr>
        <w:trPr>
          <w:trHeight w:val="412"/>
        </w:trPr>
        <w:tc>
          <w:tcPr>
            <w:tcW w:w="1300" w:type="dxa"/>
            <w:vAlign w:val="bottom"/>
          </w:tcPr>
          <w:p>
            <w:pPr>
              <w:spacing w:after="0"/>
              <w:rPr>
                <w:sz w:val="24"/>
                <w:szCs w:val="24"/>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660" w:type="dxa"/>
            <w:vAlign w:val="bottom"/>
            <w:gridSpan w:val="1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320" w:type="dxa"/>
            <w:vAlign w:val="bottom"/>
          </w:tcPr>
          <w:p>
            <w:pPr>
              <w:spacing w:after="0"/>
              <w:rPr>
                <w:sz w:val="24"/>
                <w:szCs w:val="24"/>
                <w:color w:val="auto"/>
              </w:rPr>
            </w:pPr>
          </w:p>
        </w:tc>
      </w:tr>
      <w:tr>
        <w:trPr>
          <w:trHeight w:val="358"/>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ITEM 17. FINANCIAL STATEMENTS</w:t>
            </w:r>
          </w:p>
        </w:tc>
        <w:tc>
          <w:tcPr>
            <w:tcW w:w="3540" w:type="dxa"/>
            <w:vAlign w:val="bottom"/>
            <w:gridSpan w:val="1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ITEM 18. FINANCIAL STATEMENTS</w:t>
            </w:r>
          </w:p>
        </w:tc>
        <w:tc>
          <w:tcPr>
            <w:tcW w:w="3540" w:type="dxa"/>
            <w:vAlign w:val="bottom"/>
            <w:gridSpan w:val="1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32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19. EXHIBITS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320" w:type="dxa"/>
            <w:vAlign w:val="bottom"/>
          </w:tcPr>
          <w:p>
            <w:pPr>
              <w:spacing w:after="0"/>
              <w:rPr>
                <w:sz w:val="24"/>
                <w:szCs w:val="24"/>
                <w:color w:val="auto"/>
              </w:rPr>
            </w:pPr>
          </w:p>
        </w:tc>
      </w:tr>
      <w:tr>
        <w:trPr>
          <w:trHeight w:val="1701"/>
        </w:trPr>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413"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440" w:right="459"/>
        <w:spacing w:after="0" w:line="253" w:lineRule="auto"/>
        <w:rPr>
          <w:sz w:val="20"/>
          <w:szCs w:val="20"/>
          <w:color w:val="auto"/>
        </w:rPr>
      </w:pPr>
      <w:r>
        <w:rPr>
          <w:rFonts w:ascii="Times New Roman" w:cs="Times New Roman" w:eastAsia="Times New Roman" w:hAnsi="Times New Roman"/>
          <w:sz w:val="18"/>
          <w:szCs w:val="18"/>
          <w:color w:val="auto"/>
        </w:rPr>
        <w:t>On May 15, 2026 (the “Closing Date”), AIR Global PLC (formerly AIR Holdings Limited), a public limited company incorporated under the laws of Jersey (“Pubco”), consummated the previously announced business combination pursuant to the Business Combination Agreement, dated as of November 7, 2025 (as amended, the “Business Combination Agreement”), by and among AIR Holdings Limited, a private limited company incorporated under the laws of Jersey and the legal predecessor of Pubco, Cantor Equity Partners III, Inc., a Cayman Islands exempted company (“CAEP”), AIR Limited, a private limited company incorporated under the laws of Jersey (“AIR”), Genesis Cayman Merger Sub Limited, a Cayman Islands exempted company and a wholly owned direct subsidiary of Pubco (“Cayman Merger Sub”), and Genesis Jersey Merger Sub Limited, a private limited company incorporated under the laws of Jersey and a wholly owned direct subsidiary of Pubco (“Jersey Merger Sub”). Unless otherwise stated or the context otherwise requires, capitalized terms used but not defined herein have the meanings assigned to them in the Business Combination Agreement.</w:t>
      </w:r>
    </w:p>
    <w:p>
      <w:pPr>
        <w:spacing w:after="0" w:line="192"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On the Closing Date, the following transactions occurred pursuant to the terms of the Business Combination Agreement (collectively, the “Transactions”):</w:t>
      </w:r>
    </w:p>
    <w:p>
      <w:pPr>
        <w:spacing w:after="0" w:line="162" w:lineRule="exact"/>
        <w:rPr>
          <w:sz w:val="20"/>
          <w:szCs w:val="20"/>
          <w:color w:val="auto"/>
        </w:rPr>
      </w:pPr>
    </w:p>
    <w:p>
      <w:pPr>
        <w:jc w:val="both"/>
        <w:ind w:left="1080" w:right="459" w:hanging="315"/>
        <w:spacing w:after="0" w:line="25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Merger Sub merged with and into CAEP in accordance with the Companies Act (As Revised) of the Cayman Islands (the “Cayman Merger”), with CAEP continuing as the surviving company and a wholly owned direct subsidiary of Pubco, and each issued and outstanding Class A ordinary share of CAEP, par value $0.0001 per share (“CAEP Class A Ordinary Shares”), including each Class B ordinary share of CAEP, par value $0.0001 per share (“CAEP Class B Ordinary Shares”) that was automatically converted into a CAEP Class A Ordinary Share at the Cayman Effective Time (other than CAEP Class A Ordinary Shares that were validly redeemed and certain CAEP Class B Ordinary Shares surrendered by Cantor EP Holdings III, LLC (the “Sponsor”)), was cancelled in exchange for one ordinary share of Pubco, par value $0.0001 (a “Pubco Ordinary Share”);</w:t>
      </w:r>
    </w:p>
    <w:p>
      <w:pPr>
        <w:spacing w:after="0" w:line="188" w:lineRule="exact"/>
        <w:rPr>
          <w:rFonts w:ascii="Times New Roman" w:cs="Times New Roman" w:eastAsia="Times New Roman" w:hAnsi="Times New Roman"/>
          <w:sz w:val="18"/>
          <w:szCs w:val="18"/>
          <w:color w:val="auto"/>
        </w:rPr>
      </w:pPr>
    </w:p>
    <w:p>
      <w:pPr>
        <w:jc w:val="both"/>
        <w:ind w:left="1080" w:right="459" w:hanging="315"/>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Cayman Merger, Jersey Merger Sub merged with and into AIR in accordance with the Companies (Jersey) Law 1991 (as amended) (the “Jersey Merger”, and together with the Cayman Merger, the “Mergers”), with AIR continuing as the surviving company and a wholly owned direct subsidiary of Pubco, and the holders of ordinary shares of AIR (“AIR Ordinary Shares”) received Pubco Ordinary Shares in exchange for their AIR Ordinary Shares pursuant to the terms of the Business Combination Agreement; and</w:t>
      </w:r>
    </w:p>
    <w:p>
      <w:pPr>
        <w:spacing w:after="0" w:line="187"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transactions contemplated by the Business Combination Agreement.</w:t>
      </w:r>
    </w:p>
    <w:p>
      <w:pPr>
        <w:spacing w:after="0" w:line="225"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Prior to Closing, a total of 22,373,640 CAEP Class A ordinary shares were redeemed for an aggregate redemption value of approximately $234.7 million, resulting in a total of 5,226,360 CAEP Class A ordinary shares remaining issued and outstanding as of the Closing Date. As of the Closing Date, after giving effect to the Transactions, there were 160,386,602 Pubco Ordinary Shares issued and outstanding.</w:t>
      </w:r>
    </w:p>
    <w:p>
      <w:pPr>
        <w:spacing w:after="0" w:line="180" w:lineRule="exact"/>
        <w:rPr>
          <w:sz w:val="20"/>
          <w:szCs w:val="20"/>
          <w:color w:val="auto"/>
        </w:rPr>
      </w:pPr>
    </w:p>
    <w:p>
      <w:pPr>
        <w:jc w:val="both"/>
        <w:ind w:left="440" w:right="459"/>
        <w:spacing w:after="0" w:line="255" w:lineRule="auto"/>
        <w:rPr>
          <w:sz w:val="20"/>
          <w:szCs w:val="20"/>
          <w:color w:val="auto"/>
        </w:rPr>
      </w:pPr>
      <w:r>
        <w:rPr>
          <w:rFonts w:ascii="Times New Roman" w:cs="Times New Roman" w:eastAsia="Times New Roman" w:hAnsi="Times New Roman"/>
          <w:sz w:val="18"/>
          <w:szCs w:val="18"/>
          <w:color w:val="auto"/>
        </w:rPr>
        <w:t>Prior to the completion of the Transactions, Pubco did not conduct any material activities other than those incidental to its formation, the incorporation of Cayman Merger Sub and Jersey Merger Sub and the matters contemplated by the Business Combination Agreement, including the making of certain required securities law filings. Upon the closing of the Transactions, Pubco became the direct parent of CAEP and AIR. AIR is a leading global producer of branded flavored molasses (commonly known as “hookah”, “shisha” or “mu’assel”), produced and sold in over 90 markets worldwide, with an estimated global market share of approximately 36% to 44% in the markets in which it operates (excluding Russia and Turkey) as of December 31, 2025.</w:t>
      </w:r>
    </w:p>
    <w:p>
      <w:pPr>
        <w:spacing w:after="0" w:line="189" w:lineRule="exact"/>
        <w:rPr>
          <w:sz w:val="20"/>
          <w:szCs w:val="20"/>
          <w:color w:val="auto"/>
        </w:rPr>
      </w:pPr>
    </w:p>
    <w:p>
      <w:pPr>
        <w:jc w:val="both"/>
        <w:ind w:left="440" w:right="459"/>
        <w:spacing w:after="0" w:line="253" w:lineRule="auto"/>
        <w:rPr>
          <w:sz w:val="20"/>
          <w:szCs w:val="20"/>
          <w:color w:val="auto"/>
        </w:rPr>
      </w:pPr>
      <w:r>
        <w:rPr>
          <w:rFonts w:ascii="Times New Roman" w:cs="Times New Roman" w:eastAsia="Times New Roman" w:hAnsi="Times New Roman"/>
          <w:sz w:val="18"/>
          <w:szCs w:val="18"/>
          <w:color w:val="auto"/>
        </w:rPr>
        <w:t>On November 7, 2025, CAEP, Pubco, AIR and the Sponsor entered into a sponsor support agreement (the “Sponsor Support Agreement”). Pursuant to the Sponsor Support Agreement, on the Closing Date, effective immediately prior to the Cayman Merger and conditioned upon the Closing, the Sponsor agreed to (i) waive its anti-dilution rights under CAEP’s memorandum and articles of association with respect to its CAEP Class B Ordinary Shares and (ii) surrender and forfeit 3,400,000 CAEP Class B Ordinary Shares held by it. In addition, pursuant to the Sponsor Support Agreement, all amounts outstanding under the Sponsor Loan as of the Closing were repaid in the form of 102,009 newly issued CAEP Class A Ordinary Shares. The Sponsor Support Agreement also provides for (a) certain restrictions on the transfer of the Pubco Ordinary Shares received by the Sponsor in exchange for its CAEP Class A Ordinary Shares, into which the remaining outstanding Class B Ordinary Shares were converted, until the earlier of (1) the date that is six (6) months following the Closing Date and (2) the occurrence of certain early release events, and (b) certain vesting conditions on 1,500,000 Pubco Ordinary Shares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028" w:gutter="0" w:footer="0" w:header="0"/>
        </w:sectPr>
      </w:pPr>
    </w:p>
    <w:bookmarkStart w:id="3" w:name="page4"/>
    <w:bookmarkEnd w:id="3"/>
    <w:p>
      <w:pPr>
        <w:spacing w:after="0" w:line="194"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received by the Sponsor at Closing, releasable only if specified price targets for the Pubco Ordinary Shares aere achieved, or certain transactions occur, prior to the fifth (5th) anniversary of the Closing Date, in each case on the terms and subject to the conditions set forth in the Sponsor Support Agreement.</w:t>
      </w:r>
    </w:p>
    <w:p>
      <w:pPr>
        <w:spacing w:after="0" w:line="176"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parties to the Sponsor Support Agreement entered into a waiver and release agreement waiving the lock-up restrictions under the Sponsor Support Agreement with respect to 1,000,000 Pubco Ordinary Shares issued to the Sponsor at Closing, in order to facilitate compliance with certain Nasdaq listing requirements.</w:t>
      </w:r>
    </w:p>
    <w:p>
      <w:pPr>
        <w:spacing w:after="0" w:line="180" w:lineRule="exact"/>
        <w:rPr>
          <w:sz w:val="20"/>
          <w:szCs w:val="20"/>
          <w:color w:val="auto"/>
        </w:rPr>
      </w:pPr>
    </w:p>
    <w:p>
      <w:pPr>
        <w:jc w:val="both"/>
        <w:ind w:left="440" w:right="459"/>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certain key shareholders of AIR representing greater than two-thirds of the outstanding AIR ordinary shares entitled to vote on the Business Combination entered into a Shareholder Support Agreement with CAEP, Pubco and AIR (the “Shareholder Support Agreement”), pursuant to which, among other things, such shareholders agreed (i) not to transfer their AIR ordinary shares and (ii) not to amend or revoke the special written resolution approving the Business Combination Agreement, the Jersey Merger and the other Transactions. In addition, pursuant to the terms of the Business Combination Agreement, at least 99.9% of the Pubco Ordinary Shares issued to the AIR Shareholders at the Jersey Effective Time in exchange for their AIR ordinary shares are subject to a lock-up that prohibits sales or other dispositions until the earlier of (a) the date that is six (6) months following the Jersey Effective Time and (b) the occurrence of certain early release events, in each case subject to customary permitted transfers.</w:t>
      </w:r>
    </w:p>
    <w:p>
      <w:pPr>
        <w:spacing w:after="0" w:line="192"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parties to the Business Combination Agreement entered into a waiver agreement waiving the lock-up restrictions under the Business Combination Agreement with respect to 10,400 Pubco Ordinary Shares issued to certain shareholders of AIR in exchange for AIR Ordinary Shares, in order to facilitate compliance with certain Nasdaq listing requirements.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Pubco Ordinary Shares are listed on The Nasdaq Stock Market LLC (“Nasdaq”), under the symbol “AIIR.”</w:t>
      </w:r>
    </w:p>
    <w:p>
      <w:pPr>
        <w:spacing w:after="0" w:line="225"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Except as otherwise indicated or required by context, references in this Shell Company Report on Form 20-F (including information incorporated by reference herein, the “Report”) to “we”, “us”, “our”, the “Company” or “Pubco” refer to AIR Global PLC, a public limited company incorporated under the laws of Jersey, and its consolidated subsidiaries.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440" w:right="459"/>
        <w:spacing w:after="0" w:line="252" w:lineRule="auto"/>
        <w:rPr>
          <w:sz w:val="20"/>
          <w:szCs w:val="20"/>
          <w:color w:val="auto"/>
        </w:rPr>
      </w:pPr>
      <w:r>
        <w:rPr>
          <w:rFonts w:ascii="Times New Roman" w:cs="Times New Roman" w:eastAsia="Times New Roman" w:hAnsi="Times New Roman"/>
          <w:sz w:val="18"/>
          <w:szCs w:val="18"/>
          <w:color w:val="auto"/>
        </w:rPr>
        <w:t>This Report and the information incorporated by reference herein include or may include certain “forward-looking statements” within the meaning of the federal securities laws, including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Pubco’s intentions, beliefs or current expectations concerning, among other things, the Business Combination, the benefits and synergies of the Business Combination, including results of operations, financial condition, liquidity, prospects, growth, strategies, future market conditions or economic performance and developments in the capital and credit markets and expected future financial performance, the markets in which AIR operates as well as any information concerning possible or assumed future results of operations of Pubco after giving effect to the Business Combination. Such forward-looking statements are based on available current market material and management’s expectations, beliefs and forecasts concerning future events impacting Pubco. Factors that may impact such forward-looking statements include:</w:t>
      </w:r>
    </w:p>
    <w:p>
      <w:pPr>
        <w:spacing w:after="0" w:line="196" w:lineRule="exact"/>
        <w:rPr>
          <w:sz w:val="20"/>
          <w:szCs w:val="20"/>
          <w:color w:val="auto"/>
        </w:rPr>
      </w:pPr>
    </w:p>
    <w:p>
      <w:pPr>
        <w:ind w:left="760" w:hanging="319"/>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Pubco;</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management of its business strategy and plans;</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Pubco, including:</w:t>
      </w:r>
    </w:p>
    <w:p>
      <w:pPr>
        <w:spacing w:after="0" w:line="225" w:lineRule="exact"/>
        <w:rPr>
          <w:rFonts w:ascii="Times New Roman" w:cs="Times New Roman" w:eastAsia="Times New Roman" w:hAnsi="Times New Roman"/>
          <w:sz w:val="18"/>
          <w:szCs w:val="18"/>
          <w:color w:val="auto"/>
        </w:rPr>
      </w:pPr>
    </w:p>
    <w:p>
      <w:pPr>
        <w:jc w:val="both"/>
        <w:ind w:left="1080" w:right="459" w:hanging="315"/>
        <w:spacing w:after="0" w:line="220" w:lineRule="exact"/>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consumer preferences and demand for our products, including the risk that we fail to anticipate evolving customer tastes; slower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uptake of shisha consumption and adoption of innovative inhalation devices; adverse changes in brand reputation; and competition from illicit or unregulated sources;</w:t>
      </w:r>
    </w:p>
    <w:p>
      <w:pPr>
        <w:spacing w:after="0" w:line="200" w:lineRule="exact"/>
        <w:rPr>
          <w:rFonts w:ascii="Times New Roman" w:cs="Times New Roman" w:eastAsia="Times New Roman" w:hAnsi="Times New Roman"/>
          <w:sz w:val="18"/>
          <w:szCs w:val="18"/>
          <w:color w:val="auto"/>
        </w:rPr>
      </w:pPr>
    </w:p>
    <w:p>
      <w:pPr>
        <w:jc w:val="both"/>
        <w:ind w:left="1080" w:right="459" w:hanging="315"/>
        <w:spacing w:after="0" w:line="232" w:lineRule="exact"/>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health perceptions and liability, including potential claims regarding health consequences of shisha and heat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burn nicotine products; limits on the availability or scope of insurance coverage; and increased scrutiny of tobacco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or nicotine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containing products;</w:t>
      </w:r>
    </w:p>
    <w:p>
      <w:pPr>
        <w:spacing w:after="0" w:line="170" w:lineRule="exact"/>
        <w:rPr>
          <w:rFonts w:ascii="Times New Roman" w:cs="Times New Roman" w:eastAsia="Times New Roman" w:hAnsi="Times New Roman"/>
          <w:sz w:val="18"/>
          <w:szCs w:val="18"/>
          <w:color w:val="auto"/>
        </w:rPr>
      </w:pPr>
    </w:p>
    <w:p>
      <w:pPr>
        <w:jc w:val="both"/>
        <w:ind w:left="1080" w:right="459" w:hanging="315"/>
        <w:spacing w:after="0" w:line="226" w:lineRule="exact"/>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supply chain and operations, including reliance on sole or effectively exclusive distributors; dependence on specific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and manufacturers for flavoring ingredients and technology components; securing adequate supplies of tobacco leaf and other raw materials amid price or availability volatility;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transportation and logistics; prolonged disruption to our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production and storage facilities; and exposure to customer credit risk;</w:t>
      </w:r>
    </w:p>
    <w:p>
      <w:pPr>
        <w:spacing w:after="0" w:line="170" w:lineRule="exact"/>
        <w:rPr>
          <w:rFonts w:ascii="Times New Roman" w:cs="Times New Roman" w:eastAsia="Times New Roman" w:hAnsi="Times New Roman"/>
          <w:sz w:val="18"/>
          <w:szCs w:val="18"/>
          <w:color w:val="auto"/>
        </w:rPr>
      </w:pPr>
    </w:p>
    <w:p>
      <w:pPr>
        <w:jc w:val="both"/>
        <w:ind w:left="1080" w:right="459" w:hanging="315"/>
        <w:spacing w:after="0" w:line="220" w:lineRule="exact"/>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and strategy execution, including intense competition; the unpredictability of financial and business performance of novel inhalation devices and smoke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products relative to traditional flavored molasses; and the possibility that strategies to enter new segments or markets and to acquire businesses may underperform or fail;</w:t>
      </w:r>
    </w:p>
    <w:p>
      <w:pPr>
        <w:spacing w:after="0" w:line="200" w:lineRule="exact"/>
        <w:rPr>
          <w:rFonts w:ascii="Times New Roman" w:cs="Times New Roman" w:eastAsia="Times New Roman" w:hAnsi="Times New Roman"/>
          <w:sz w:val="18"/>
          <w:szCs w:val="18"/>
          <w:color w:val="auto"/>
        </w:rPr>
      </w:pPr>
    </w:p>
    <w:p>
      <w:pPr>
        <w:jc w:val="both"/>
        <w:ind w:left="1080" w:right="459" w:hanging="315"/>
        <w:spacing w:after="0" w:line="258"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macroeconomic and geopolitical conditions, including decreases in consumer disposable income; foreign exchange rate fluctuations; continued instability and unrest in the Middle East and Africa or escalation of armed conflict; terrorist attacks and political instability; heightened sovereign risk; operating in regions with elevated corruption risk; and economic, regulatory and political developments, natural disasters and conflicts across the countries where we operate;</w:t>
      </w:r>
    </w:p>
    <w:p>
      <w:pPr>
        <w:spacing w:after="0" w:line="183" w:lineRule="exact"/>
        <w:rPr>
          <w:rFonts w:ascii="Times New Roman" w:cs="Times New Roman" w:eastAsia="Times New Roman" w:hAnsi="Times New Roman"/>
          <w:sz w:val="18"/>
          <w:szCs w:val="18"/>
          <w:color w:val="auto"/>
        </w:rPr>
      </w:pPr>
    </w:p>
    <w:p>
      <w:pPr>
        <w:jc w:val="both"/>
        <w:ind w:left="1080" w:right="459" w:hanging="315"/>
        <w:spacing w:after="0" w:line="261" w:lineRule="auto"/>
        <w:tabs>
          <w:tab w:leader="none" w:pos="10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labor and human capital, including work stoppages, workplace injuries and other labor matters; reliance on a limited number of key executives and employees and challenges attracting and retaining qualified personnel; and mobilization or other extraordinary labor measures in certain jurisdictions;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 w:name="page6"/>
    <w:bookmarkEnd w:id="5"/>
    <w:p>
      <w:pPr>
        <w:spacing w:after="0" w:line="153" w:lineRule="exact"/>
        <w:rPr>
          <w:sz w:val="20"/>
          <w:szCs w:val="20"/>
          <w:color w:val="auto"/>
        </w:rPr>
      </w:pPr>
    </w:p>
    <w:p>
      <w:pPr>
        <w:jc w:val="both"/>
        <w:ind w:left="1080" w:right="459" w:hanging="315"/>
        <w:spacing w:after="0" w:line="228" w:lineRule="exact"/>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data, technology and cybersecurity, including failures by us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to protect confidential information; security incidents or unauthorized access to our IT systems or data (including customer, partner or other personal data); and legal, regulatory, IP or privacy risks arising from our use of social media, cookies and other tracking technologies, emails, push notifications and text messages;</w:t>
      </w:r>
    </w:p>
    <w:p>
      <w:pPr>
        <w:spacing w:after="0" w:line="198" w:lineRule="exact"/>
        <w:rPr>
          <w:rFonts w:ascii="Times New Roman" w:cs="Times New Roman" w:eastAsia="Times New Roman" w:hAnsi="Times New Roman"/>
          <w:sz w:val="18"/>
          <w:szCs w:val="18"/>
          <w:color w:val="auto"/>
        </w:rPr>
      </w:pPr>
    </w:p>
    <w:p>
      <w:pPr>
        <w:ind w:left="1080" w:right="459" w:hanging="315"/>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ESG and climate, trade and taxation, and regulation and compliance, including Pubco’s customers’ compliance with applicable regulations;</w:t>
      </w:r>
    </w:p>
    <w:p>
      <w:pPr>
        <w:spacing w:after="0" w:line="161" w:lineRule="exact"/>
        <w:rPr>
          <w:rFonts w:ascii="Times New Roman" w:cs="Times New Roman" w:eastAsia="Times New Roman" w:hAnsi="Times New Roman"/>
          <w:sz w:val="18"/>
          <w:szCs w:val="18"/>
          <w:color w:val="auto"/>
        </w:rPr>
      </w:pPr>
    </w:p>
    <w:p>
      <w:pPr>
        <w:ind w:left="1080" w:right="459" w:hanging="315"/>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international markets and compliance with existing laws and regulations or changes in any such laws and regulations in the markets where we operate;</w:t>
      </w:r>
    </w:p>
    <w:p>
      <w:pPr>
        <w:spacing w:after="0" w:line="161" w:lineRule="exact"/>
        <w:rPr>
          <w:rFonts w:ascii="Times New Roman" w:cs="Times New Roman" w:eastAsia="Times New Roman" w:hAnsi="Times New Roman"/>
          <w:sz w:val="18"/>
          <w:szCs w:val="18"/>
          <w:color w:val="auto"/>
        </w:rPr>
      </w:pPr>
    </w:p>
    <w:p>
      <w:pPr>
        <w:jc w:val="both"/>
        <w:ind w:left="1080" w:right="459" w:hanging="315"/>
        <w:spacing w:after="0" w:line="25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indebtedness and liquidity, including our substantial debt and related service obligations; secured senior credit facilities that place certain assets at enforcement risk in an acceleration scenario; restrictive debt covenants that may limit our ability to finance operations or growth or to pay dividends; exposure to floating interest rates on borrowings; potential future debt incurrence; our status as a holding company dependent on subsidiaries for cash; and the need for significant cash to service debt and sustain operations;</w:t>
      </w:r>
    </w:p>
    <w:p>
      <w:pPr>
        <w:spacing w:after="0" w:line="187" w:lineRule="exact"/>
        <w:rPr>
          <w:rFonts w:ascii="Times New Roman" w:cs="Times New Roman" w:eastAsia="Times New Roman" w:hAnsi="Times New Roman"/>
          <w:sz w:val="18"/>
          <w:szCs w:val="18"/>
          <w:color w:val="auto"/>
        </w:rPr>
      </w:pPr>
    </w:p>
    <w:p>
      <w:pPr>
        <w:jc w:val="both"/>
        <w:ind w:left="1080" w:right="459" w:hanging="315"/>
        <w:spacing w:after="0" w:line="25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Pubco’s capital markets profile and shareholder rights, including potential volatility and decline in the market price of Pubco Ordinary Shares; uncertainty about maintaining an active trading market or continued Nasdaq listing; dilution from future equity issuances (including AIR incentive awards) and increased shares eligible for resale; future resales depressing the market price; differences between the rights of Pubco shareholders and those of shareholders of a U.S. corporation; and anti-takeover provisions in the A&amp;R Pubco articles;</w:t>
      </w:r>
    </w:p>
    <w:p>
      <w:pPr>
        <w:spacing w:after="0" w:line="187" w:lineRule="exact"/>
        <w:rPr>
          <w:rFonts w:ascii="Times New Roman" w:cs="Times New Roman" w:eastAsia="Times New Roman" w:hAnsi="Times New Roman"/>
          <w:sz w:val="18"/>
          <w:szCs w:val="18"/>
          <w:color w:val="auto"/>
        </w:rPr>
      </w:pPr>
    </w:p>
    <w:p>
      <w:pPr>
        <w:jc w:val="both"/>
        <w:ind w:left="1080" w:right="459" w:hanging="315"/>
        <w:spacing w:after="0" w:line="224" w:lineRule="exact"/>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internal controls, reporting and market perceptions, including failure to maintain an effective system of internal controls and compliance; previously identified or potential future material weaknesses in internal control over financial reporting; and the potential for adverse equity research coverage, unfavorable commentary or downgrades to negatively impact the price of Pubco Ordinary Shares, as well as the general risk that securities of companies formed through SPAC mergers may experience price declines relative to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merger share prices; and</w:t>
      </w:r>
    </w:p>
    <w:p>
      <w:pPr>
        <w:spacing w:after="0" w:line="169" w:lineRule="exact"/>
        <w:rPr>
          <w:rFonts w:ascii="Times New Roman" w:cs="Times New Roman" w:eastAsia="Times New Roman" w:hAnsi="Times New Roman"/>
          <w:sz w:val="18"/>
          <w:szCs w:val="18"/>
          <w:color w:val="auto"/>
        </w:rPr>
      </w:pPr>
    </w:p>
    <w:p>
      <w:pPr>
        <w:jc w:val="both"/>
        <w:ind w:left="1080" w:right="459" w:hanging="315"/>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Proxy Statement and Prospectus as amended and supplemented, (the “</w:t>
      </w:r>
      <w:r>
        <w:rPr>
          <w:rFonts w:ascii="Times New Roman" w:cs="Times New Roman" w:eastAsia="Times New Roman" w:hAnsi="Times New Roman"/>
          <w:sz w:val="18"/>
          <w:szCs w:val="18"/>
          <w:i w:val="1"/>
          <w:iCs w:val="1"/>
          <w:color w:val="auto"/>
        </w:rPr>
        <w:t>Proxy Statement/Prospectus</w:t>
      </w:r>
      <w:r>
        <w:rPr>
          <w:rFonts w:ascii="Times New Roman" w:cs="Times New Roman" w:eastAsia="Times New Roman" w:hAnsi="Times New Roman"/>
          <w:sz w:val="18"/>
          <w:szCs w:val="18"/>
          <w:color w:val="auto"/>
        </w:rPr>
        <w:t>”), part of Pubco's Registration Statement on Form F-4, as amended (File No. 333-294714) (the “Form F-4”), which section is incorporated herein by reference.</w:t>
      </w:r>
    </w:p>
    <w:p>
      <w:pPr>
        <w:spacing w:after="0" w:line="182" w:lineRule="exact"/>
        <w:rPr>
          <w:sz w:val="20"/>
          <w:szCs w:val="20"/>
          <w:color w:val="auto"/>
        </w:rPr>
      </w:pPr>
    </w:p>
    <w:p>
      <w:pPr>
        <w:jc w:val="both"/>
        <w:ind w:left="440" w:right="459"/>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Report are based on Pubco’s current expectations and beliefs concerning future developments and their potential effects on its direct and indirect subsidiaries. There can be no assurance that future developments affecting Pubco will be those that Pubco has anticipated. These forward-looking statements involve a number of risks, uncertainties (some of which are beyond Pubco’s control) or other assumptions that may cause actual results or performance to be materially different from those expressed or implied by these forward-looking statements. These risks and uncertainties include, but are not limited to, those factors described in the Proxy Statement/Prospectus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Should one or more of these risks or uncertainties materialize, or should any of the assumptions prove incorrect, actual results may vary in material respects from those projected in these forward-looking statements. As a result, any inclusion of estimates or other forecast information in this report or incorporated by reference herein should not be relied on as “guidance” or otherwise predictive of actual future events, and actual results may differ materially from the forecasts. Pubco will not undertake any obligation to update or revise any forward-looking statements, whether as a result of new information, future events or otherwise, except as may be required under applicable securities laws. Readers of this report are cautioned not to place undue reliance on the unaudited prospective financial information set forth in the Proxy Statement/Prospectus. None of Pubco or any of its respective affiliates, directors, officers, advisors or other representatives has made or makes any representation to any shareholder or any other person regarding ultimate performance compared to the information contained in the estimates or that financial and operating results will be achieved.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tab/>
        <w:t>Directors and Senior Management</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directors and executive officers of Pubco after the completion of the Transactions is included in the Proxy Statement/Prospectus under the section titled “</w:t>
      </w:r>
      <w:r>
        <w:rPr>
          <w:rFonts w:ascii="Times New Roman" w:cs="Times New Roman" w:eastAsia="Times New Roman" w:hAnsi="Times New Roman"/>
          <w:sz w:val="18"/>
          <w:szCs w:val="18"/>
          <w:i w:val="1"/>
          <w:iCs w:val="1"/>
          <w:color w:val="auto"/>
        </w:rPr>
        <w:t>Management of Pubco After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and is incorporated herein by reference.</w:t>
      </w:r>
    </w:p>
    <w:p>
      <w:pPr>
        <w:spacing w:after="0" w:line="176"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 xml:space="preserve">The business address for each of the directors and executive officers of Pubco is </w:t>
      </w:r>
      <w:r>
        <w:rPr>
          <w:rFonts w:ascii="Times New Roman" w:cs="Times New Roman" w:eastAsia="Times New Roman" w:hAnsi="Times New Roman"/>
          <w:sz w:val="18"/>
          <w:szCs w:val="18"/>
          <w:color w:val="231F20"/>
        </w:rPr>
        <w:t>Festival Office Tower, Dubai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Festival City, 7th Floor, Office No. 700, Dubai, United Arab Emirates</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Advisers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Latham &amp; Watkins LLP acts as U.S. securities counsel for Pubco.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Walkers (Jersey) LLP acts as Jersey counsel for Pubco.</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Auditors</w:t>
      </w:r>
    </w:p>
    <w:p>
      <w:pPr>
        <w:spacing w:after="0" w:line="229"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PricewaterhouseCoopers Limited Partnership Dubai Branch, with its registered address at Emaar Square Building 5, P.O. Box 11987, Dubai, United Arab Emirates, is Pubco’s independent registered public accounting firm. PricewaterhouseCoopers Limited Partnership Dubai Branch is registered with the Public Company Accounting Oversight Board (United States).</w:t>
      </w:r>
    </w:p>
    <w:p>
      <w:pPr>
        <w:spacing w:after="0" w:line="180"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PricewaterhouseCoopers Limited Partnership Dubai Branch, with its registered address at Emaar Square Building 5, P.O. Box 11987, Dubai, United Arab Emirates, has acted as AIR’s independent registered public accounting firm. PricewaterhouseCoopers Limited Partnership Dubai Branch is registered with the Public Company Accounting Oversight Board (United States).</w:t>
      </w:r>
    </w:p>
    <w:p>
      <w:pPr>
        <w:spacing w:after="0" w:line="180"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WithumSmith+Brown, PC, located in New York, New York, has acted as CAEP’s independent registered public accounting firm from 2024 through the consummation of the Transactions. WithumSmith+Brown, PC is registered with the Public Company Accounting Oversight Board (United States).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ind w:left="760" w:hanging="319"/>
        <w:spacing w:after="0"/>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760" w:hanging="319"/>
        <w:spacing w:after="0"/>
        <w:tabs>
          <w:tab w:leader="none" w:pos="7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capitalization and indebtedness is included in the Proxy Statement/Prospectus under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Reasons for the Offer and 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D.</w:t>
        <w:tab/>
        <w:t>Risk Factors</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risk factors related to the business and operations of Pubco are described in the Proxy Statement/Prospectus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is incorporated herein by reference.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jc w:val="both"/>
        <w:ind w:left="440" w:right="459"/>
        <w:spacing w:after="0" w:line="256" w:lineRule="auto"/>
        <w:rPr>
          <w:sz w:val="20"/>
          <w:szCs w:val="20"/>
          <w:color w:val="auto"/>
        </w:rPr>
      </w:pPr>
      <w:r>
        <w:rPr>
          <w:rFonts w:ascii="Times New Roman" w:cs="Times New Roman" w:eastAsia="Times New Roman" w:hAnsi="Times New Roman"/>
          <w:sz w:val="18"/>
          <w:szCs w:val="18"/>
          <w:color w:val="auto"/>
        </w:rPr>
        <w:t xml:space="preserve">AIR Global PLC, or “Pubco”, is a public limited company incorporated under the laws of Jersey on October 28, 2025. Pubco was initially formed as a private limited company under the name AIR Holdings Limited, and was converted to a public limited company prior to the consummation of the Transactions. Pubco was formed for the sole purpose of entering into and consummating the Transactions. The principal executive office of Pubco is </w:t>
      </w:r>
      <w:r>
        <w:rPr>
          <w:rFonts w:ascii="Times New Roman" w:cs="Times New Roman" w:eastAsia="Times New Roman" w:hAnsi="Times New Roman"/>
          <w:sz w:val="18"/>
          <w:szCs w:val="18"/>
          <w:color w:val="231F20"/>
        </w:rPr>
        <w:t>Festival Office Tower, Dubai Festival City, 7th Floor, Office No. 700, Dubai, United Arab Emirates</w:t>
      </w:r>
      <w:r>
        <w:rPr>
          <w:rFonts w:ascii="Times New Roman" w:cs="Times New Roman" w:eastAsia="Times New Roman" w:hAnsi="Times New Roman"/>
          <w:sz w:val="18"/>
          <w:szCs w:val="18"/>
          <w:color w:val="000000"/>
        </w:rPr>
        <w:t>,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telephone number of Pubco is +971 4 292 3000.</w:t>
      </w:r>
    </w:p>
    <w:p>
      <w:pPr>
        <w:spacing w:after="0" w:line="185" w:lineRule="exact"/>
        <w:rPr>
          <w:sz w:val="20"/>
          <w:szCs w:val="20"/>
          <w:color w:val="auto"/>
        </w:rPr>
      </w:pPr>
    </w:p>
    <w:p>
      <w:pPr>
        <w:jc w:val="both"/>
        <w:ind w:left="440" w:right="459"/>
        <w:spacing w:after="0" w:line="25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Explanatory Note</w:t>
      </w:r>
      <w:r>
        <w:rPr>
          <w:rFonts w:ascii="Times New Roman" w:cs="Times New Roman" w:eastAsia="Times New Roman" w:hAnsi="Times New Roman"/>
          <w:sz w:val="18"/>
          <w:szCs w:val="18"/>
          <w:color w:val="auto"/>
        </w:rPr>
        <w:t>” in this Report for additional information regarding Pubco and the Business Combination. Certain additional information about Pubco is included in the Proxy Statement/Prospectus under the section titled “</w:t>
      </w:r>
      <w:r>
        <w:rPr>
          <w:rFonts w:ascii="Times New Roman" w:cs="Times New Roman" w:eastAsia="Times New Roman" w:hAnsi="Times New Roman"/>
          <w:sz w:val="18"/>
          <w:szCs w:val="18"/>
          <w:i w:val="1"/>
          <w:iCs w:val="1"/>
          <w:color w:val="auto"/>
        </w:rPr>
        <w:t>Information Related to Pubco</w:t>
      </w:r>
      <w:r>
        <w:rPr>
          <w:rFonts w:ascii="Times New Roman" w:cs="Times New Roman" w:eastAsia="Times New Roman" w:hAnsi="Times New Roman"/>
          <w:sz w:val="18"/>
          <w:szCs w:val="18"/>
          <w:color w:val="auto"/>
        </w:rPr>
        <w:t>” and is incorporated herein by reference. The material terms of the Transactions are described in the Proxy Statement/Prospectus under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Agreement and Ancillary Documents,” </w:t>
      </w:r>
      <w:r>
        <w:rPr>
          <w:rFonts w:ascii="Times New Roman" w:cs="Times New Roman" w:eastAsia="Times New Roman" w:hAnsi="Times New Roman"/>
          <w:sz w:val="18"/>
          <w:szCs w:val="18"/>
          <w:color w:val="auto"/>
        </w:rPr>
        <w:t>which is incorporated herein by reference.</w:t>
      </w:r>
    </w:p>
    <w:p>
      <w:pPr>
        <w:spacing w:after="0" w:line="185" w:lineRule="exact"/>
        <w:rPr>
          <w:sz w:val="20"/>
          <w:szCs w:val="20"/>
          <w:color w:val="auto"/>
        </w:rPr>
      </w:pPr>
    </w:p>
    <w:p>
      <w:pPr>
        <w:jc w:val="both"/>
        <w:ind w:left="440" w:right="459"/>
        <w:spacing w:after="0" w:line="254" w:lineRule="auto"/>
        <w:rPr>
          <w:sz w:val="20"/>
          <w:szCs w:val="20"/>
          <w:color w:val="auto"/>
        </w:rPr>
      </w:pPr>
      <w:r>
        <w:rPr>
          <w:rFonts w:ascii="Times New Roman" w:cs="Times New Roman" w:eastAsia="Times New Roman" w:hAnsi="Times New Roman"/>
          <w:sz w:val="18"/>
          <w:szCs w:val="18"/>
          <w:color w:val="auto"/>
        </w:rPr>
        <w:t>Pubco is subject to certain of the informational filing requirements of the Exchange Act. Because Pubco is a “foreign private issuer,” it is exempt from the rules and regulations under the Exchange Act prescribing the furnishing and content of proxy statements, and the officers, directors and principal shareholders of Pubco are exempt from the “short-swing” profit recovery provisions contained in Section 16(b) of the Exchange Act.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spacing w:after="0" w:line="188"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website address of Pubco is https://www.air.global. The information contained on the website does not form a part of, and is not incorporated by reference into, this Report.</w:t>
      </w:r>
    </w:p>
    <w:p>
      <w:pPr>
        <w:spacing w:after="0" w:line="15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9" w:lineRule="exact"/>
        <w:rPr>
          <w:sz w:val="20"/>
          <w:szCs w:val="20"/>
          <w:color w:val="auto"/>
        </w:rPr>
      </w:pPr>
    </w:p>
    <w:p>
      <w:pPr>
        <w:jc w:val="both"/>
        <w:ind w:left="440" w:right="459"/>
        <w:spacing w:after="0" w:line="254" w:lineRule="auto"/>
        <w:rPr>
          <w:sz w:val="20"/>
          <w:szCs w:val="20"/>
          <w:color w:val="auto"/>
        </w:rPr>
      </w:pPr>
      <w:r>
        <w:rPr>
          <w:rFonts w:ascii="Times New Roman" w:cs="Times New Roman" w:eastAsia="Times New Roman" w:hAnsi="Times New Roman"/>
          <w:sz w:val="18"/>
          <w:szCs w:val="18"/>
          <w:color w:val="auto"/>
        </w:rPr>
        <w:t>Prior to the completion of the Transactions, Pubco did not conduct any material activities other than those incidental to its formation, the incorporation of Cayman Merger Sub and Jersey Merger Sub and the matters contemplated by the Business Combination Agreement, including the making of certain required securities law filings. Upon the closing of the Transactions, Pubco became the direct parent of AIR and its subsidiaries. AIR is a leading global producer of branded flavored molasses (commonly known as “hookah”, “shisha” or “mu’assel”), produced and sold through direct-to-consumer, distributor and licensed retail channels in over 90 markets worldwide. AIR’s portfolio includes established flavored molasses brands such as Al Fakher, Shisha Kartel, Zødiac, NameLess and Kloud King, as well as innovation-led inhalation devices such as OOKA and VANT.</w:t>
      </w:r>
    </w:p>
    <w:p>
      <w:pPr>
        <w:spacing w:after="0" w:line="188"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business of AIR is included in the Proxy Statement/Prospectus under the sections titled “</w:t>
      </w:r>
      <w:r>
        <w:rPr>
          <w:rFonts w:ascii="Times New Roman" w:cs="Times New Roman" w:eastAsia="Times New Roman" w:hAnsi="Times New Roman"/>
          <w:sz w:val="18"/>
          <w:szCs w:val="18"/>
          <w:i w:val="1"/>
          <w:iCs w:val="1"/>
          <w:color w:val="auto"/>
        </w:rPr>
        <w:t>Business of AIR and Certain Information About AIR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AIR’s 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which are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Upon the closing of the Transactions, Pubco became the parent of AIR and its subsidiaries. The organizational chart of Pubco following the Business Combination is included on page 30 of the Proxy Statement/Prospectus 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Property, Plants and Equipment</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facilities of AIR and its subsidiaries is included in the Proxy Statement/Prospectus under the section titled “</w:t>
      </w:r>
      <w:r>
        <w:rPr>
          <w:rFonts w:ascii="Times New Roman" w:cs="Times New Roman" w:eastAsia="Times New Roman" w:hAnsi="Times New Roman"/>
          <w:sz w:val="18"/>
          <w:szCs w:val="18"/>
          <w:i w:val="1"/>
          <w:iCs w:val="1"/>
          <w:color w:val="auto"/>
        </w:rPr>
        <w:t>Business of AIR and Certain Information About AIR”</w:t>
      </w:r>
      <w:r>
        <w:rPr>
          <w:rFonts w:ascii="Times New Roman" w:cs="Times New Roman" w:eastAsia="Times New Roman" w:hAnsi="Times New Roman"/>
          <w:sz w:val="18"/>
          <w:szCs w:val="18"/>
          <w:color w:val="auto"/>
        </w:rPr>
        <w:t xml:space="preserve">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Following and as a result of the Transactions, the business of Pubco is conducted through its direct, wholly owned subsidiary, AIR.</w:t>
      </w:r>
    </w:p>
    <w:p>
      <w:pPr>
        <w:spacing w:after="0" w:line="162"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The discussion and analysis of the financial condition and results of operations of AIR is included in the Proxy Statement/Prospectus under the section titled “</w:t>
      </w:r>
      <w:r>
        <w:rPr>
          <w:rFonts w:ascii="Times New Roman" w:cs="Times New Roman" w:eastAsia="Times New Roman" w:hAnsi="Times New Roman"/>
          <w:sz w:val="18"/>
          <w:szCs w:val="18"/>
          <w:i w:val="1"/>
          <w:iCs w:val="1"/>
          <w:color w:val="auto"/>
        </w:rPr>
        <w:t>AIR’s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which is incorporated herein by reference.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tab/>
        <w:t>Directors and Senior Management</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directors and executive officers of Pubco after the closing of the Business Combination is included in the Proxy Statement/Prospectus under the section titled “</w:t>
      </w:r>
      <w:r>
        <w:rPr>
          <w:rFonts w:ascii="Times New Roman" w:cs="Times New Roman" w:eastAsia="Times New Roman" w:hAnsi="Times New Roman"/>
          <w:sz w:val="18"/>
          <w:szCs w:val="18"/>
          <w:i w:val="1"/>
          <w:iCs w:val="1"/>
          <w:color w:val="auto"/>
        </w:rPr>
        <w:t>Management of 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After the Business Combination” </w:t>
      </w:r>
      <w:r>
        <w:rPr>
          <w:rFonts w:ascii="Times New Roman" w:cs="Times New Roman" w:eastAsia="Times New Roman" w:hAnsi="Times New Roman"/>
          <w:sz w:val="18"/>
          <w:szCs w:val="18"/>
          <w:color w:val="auto"/>
        </w:rPr>
        <w:t>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Compensation</w:t>
      </w:r>
    </w:p>
    <w:p>
      <w:pPr>
        <w:spacing w:after="0" w:line="229" w:lineRule="exact"/>
        <w:rPr>
          <w:sz w:val="20"/>
          <w:szCs w:val="20"/>
          <w:color w:val="auto"/>
        </w:rPr>
      </w:pPr>
    </w:p>
    <w:p>
      <w:pPr>
        <w:jc w:val="both"/>
        <w:ind w:left="440" w:right="459"/>
        <w:spacing w:after="0" w:line="258" w:lineRule="auto"/>
        <w:rPr>
          <w:sz w:val="20"/>
          <w:szCs w:val="20"/>
          <w:color w:val="auto"/>
        </w:rPr>
      </w:pPr>
      <w:r>
        <w:rPr>
          <w:rFonts w:ascii="Times New Roman" w:cs="Times New Roman" w:eastAsia="Times New Roman" w:hAnsi="Times New Roman"/>
          <w:sz w:val="18"/>
          <w:szCs w:val="18"/>
          <w:color w:val="auto"/>
        </w:rPr>
        <w:t>Information regarding the compensation of the directors and executive officers of Pubco, including a summary of the share-based compensation plan to be administered by the Pubco board, is included in the Proxy Statement/Prospectus under the section titled “</w:t>
      </w:r>
      <w:r>
        <w:rPr>
          <w:rFonts w:ascii="Times New Roman" w:cs="Times New Roman" w:eastAsia="Times New Roman" w:hAnsi="Times New Roman"/>
          <w:sz w:val="18"/>
          <w:szCs w:val="18"/>
          <w:i w:val="1"/>
          <w:iCs w:val="1"/>
          <w:color w:val="auto"/>
        </w:rPr>
        <w:t>Management of Pubco After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 and Director Compensation Following Completion of the Business Combination</w:t>
      </w:r>
      <w:r>
        <w:rPr>
          <w:rFonts w:ascii="Times New Roman" w:cs="Times New Roman" w:eastAsia="Times New Roman" w:hAnsi="Times New Roman"/>
          <w:sz w:val="18"/>
          <w:szCs w:val="18"/>
          <w:color w:val="auto"/>
        </w:rPr>
        <w:t>”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9"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Information regarding the board of directors of Pubco is included in the Proxy Statement/Prospectus under the section titled “</w:t>
      </w:r>
      <w:r>
        <w:rPr>
          <w:rFonts w:ascii="Times New Roman" w:cs="Times New Roman" w:eastAsia="Times New Roman" w:hAnsi="Times New Roman"/>
          <w:sz w:val="18"/>
          <w:szCs w:val="18"/>
          <w:i w:val="1"/>
          <w:iCs w:val="1"/>
          <w:color w:val="auto"/>
        </w:rPr>
        <w:t>Management of Pubco After the Business Combination</w:t>
      </w:r>
      <w:r>
        <w:rPr>
          <w:rFonts w:ascii="Times New Roman" w:cs="Times New Roman" w:eastAsia="Times New Roman" w:hAnsi="Times New Roman"/>
          <w:sz w:val="18"/>
          <w:szCs w:val="18"/>
          <w:color w:val="auto"/>
        </w:rPr>
        <w:t>” and is incorporated herein by reference.</w:t>
      </w:r>
    </w:p>
    <w:p>
      <w:pPr>
        <w:spacing w:after="0" w:line="15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D.</w:t>
        <w:tab/>
        <w:t>Employees</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Following and as a result of the Transactions, the business of Pubco is conducted through its direct, wholly owned subsidiary, AIR.</w:t>
      </w:r>
    </w:p>
    <w:p>
      <w:pPr>
        <w:spacing w:after="0" w:line="162"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employees of AIR is included in the Proxy Statement/Prospectus under the section titled “</w:t>
      </w:r>
      <w:r>
        <w:rPr>
          <w:rFonts w:ascii="Times New Roman" w:cs="Times New Roman" w:eastAsia="Times New Roman" w:hAnsi="Times New Roman"/>
          <w:sz w:val="18"/>
          <w:szCs w:val="18"/>
          <w:i w:val="1"/>
          <w:iCs w:val="1"/>
          <w:color w:val="auto"/>
        </w:rPr>
        <w:t>Business of AIR and Certain Information About AIR—Employees</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Information regarding the ownership of Pubco Ordinary Shares by our directors and executive officers is set forth in Item 7.A of this Report.</w:t>
      </w:r>
    </w:p>
    <w:p>
      <w:pPr>
        <w:spacing w:after="0" w:line="15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F.</w:t>
        <w:tab/>
        <w:t>Disclosure of a Registrant’s Action to Recover Erroneously Awarded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tab/>
        <w:t>Major Shareholders</w:t>
      </w:r>
    </w:p>
    <w:p>
      <w:pPr>
        <w:spacing w:after="0" w:line="229" w:lineRule="exact"/>
        <w:rPr>
          <w:sz w:val="20"/>
          <w:szCs w:val="20"/>
          <w:color w:val="auto"/>
        </w:rPr>
      </w:pPr>
    </w:p>
    <w:p>
      <w:pPr>
        <w:ind w:left="440" w:right="4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Pubco Ordinary Shares as of the Closing Date by:</w:t>
      </w:r>
    </w:p>
    <w:p>
      <w:pPr>
        <w:spacing w:after="0" w:line="162" w:lineRule="exact"/>
        <w:rPr>
          <w:sz w:val="20"/>
          <w:szCs w:val="20"/>
          <w:color w:val="auto"/>
        </w:rPr>
      </w:pPr>
    </w:p>
    <w:p>
      <w:pPr>
        <w:ind w:left="1080" w:right="459" w:hanging="315"/>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Pubco Ordinary Shares;</w:t>
      </w:r>
    </w:p>
    <w:p>
      <w:pPr>
        <w:spacing w:after="0" w:line="161"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1080" w:hanging="315"/>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ind w:left="440" w:right="459"/>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w:t>
      </w:r>
    </w:p>
    <w:p>
      <w:pPr>
        <w:spacing w:after="0" w:line="183"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percentage of Pubco Ordinary Shares beneficially owned is computed on the basis of 160,386,602 Pubco Ordinary Shares issued and outstanding on the Closing Date, after giving effect to the Transactions.</w:t>
      </w:r>
    </w:p>
    <w:p>
      <w:pPr>
        <w:spacing w:after="0" w:line="162"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the voting securities beneficially owned by them. Capitalized terms used but not otherwise defined have the meanings set forth in the Proxy Statement/Prospectus.</w:t>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all</w:t>
            </w:r>
          </w:p>
        </w:tc>
        <w:tc>
          <w:tcPr>
            <w:tcW w:w="0" w:type="dxa"/>
            <w:vAlign w:val="bottom"/>
          </w:tcPr>
          <w:p>
            <w:pPr>
              <w:spacing w:after="0"/>
              <w:rPr>
                <w:sz w:val="1"/>
                <w:szCs w:val="1"/>
                <w:color w:val="auto"/>
              </w:rPr>
            </w:pPr>
          </w:p>
        </w:tc>
      </w:tr>
      <w:tr>
        <w:trPr>
          <w:trHeight w:val="216"/>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Owners</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Pubco</w:t>
            </w:r>
          </w:p>
        </w:tc>
        <w:tc>
          <w:tcPr>
            <w:tcW w:w="1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Pubco Ordinary</w:t>
            </w:r>
          </w:p>
        </w:tc>
        <w:tc>
          <w:tcPr>
            <w:tcW w:w="0" w:type="dxa"/>
            <w:vAlign w:val="bottom"/>
          </w:tcPr>
          <w:p>
            <w:pPr>
              <w:spacing w:after="0"/>
              <w:rPr>
                <w:sz w:val="1"/>
                <w:szCs w:val="1"/>
                <w:color w:val="auto"/>
              </w:rPr>
            </w:pPr>
          </w:p>
        </w:tc>
      </w:tr>
      <w:tr>
        <w:trPr>
          <w:trHeight w:val="238"/>
        </w:trPr>
        <w:tc>
          <w:tcPr>
            <w:tcW w:w="46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Borders>
              <w:top w:val="single" w:sz="8" w:color="auto"/>
            </w:tcBorders>
          </w:tcPr>
          <w:p>
            <w:pPr>
              <w:ind w:left="40"/>
              <w:spacing w:after="0" w:line="171" w:lineRule="exact"/>
              <w:rPr>
                <w:sz w:val="20"/>
                <w:szCs w:val="20"/>
                <w:color w:val="auto"/>
              </w:rPr>
            </w:pPr>
            <w:r>
              <w:rPr>
                <w:rFonts w:ascii="Times New Roman" w:cs="Times New Roman" w:eastAsia="Times New Roman" w:hAnsi="Times New Roman"/>
                <w:sz w:val="18"/>
                <w:szCs w:val="18"/>
                <w:color w:val="auto"/>
              </w:rPr>
              <w:t>Directors and Executive Officers</w:t>
            </w:r>
          </w:p>
        </w:tc>
        <w:tc>
          <w:tcPr>
            <w:tcW w:w="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Stuart Brazier</w:t>
            </w:r>
            <w:r>
              <w:rPr>
                <w:rFonts w:ascii="Times New Roman" w:cs="Times New Roman" w:eastAsia="Times New Roman" w:hAnsi="Times New Roman"/>
                <w:sz w:val="24"/>
                <w:szCs w:val="24"/>
                <w:color w:val="auto"/>
                <w:vertAlign w:val="superscript"/>
              </w:rPr>
              <w:t>(1)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725,494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Bassem Lotfy</w:t>
            </w:r>
            <w:r>
              <w:rPr>
                <w:rFonts w:ascii="Times New Roman" w:cs="Times New Roman" w:eastAsia="Times New Roman" w:hAnsi="Times New Roman"/>
                <w:sz w:val="24"/>
                <w:szCs w:val="24"/>
                <w:color w:val="auto"/>
                <w:vertAlign w:val="superscript"/>
              </w:rPr>
              <w:t>(2)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145,976</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Ronan Barry</w:t>
            </w:r>
            <w:r>
              <w:rPr>
                <w:rFonts w:ascii="Times New Roman" w:cs="Times New Roman" w:eastAsia="Times New Roman" w:hAnsi="Times New Roman"/>
                <w:sz w:val="24"/>
                <w:szCs w:val="24"/>
                <w:color w:val="auto"/>
                <w:vertAlign w:val="superscript"/>
              </w:rPr>
              <w:t>(3)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Pr>
          <w:p>
            <w:pPr>
              <w:ind w:left="40"/>
              <w:spacing w:after="0" w:line="236" w:lineRule="exact"/>
              <w:rPr>
                <w:sz w:val="20"/>
                <w:szCs w:val="20"/>
                <w:color w:val="auto"/>
              </w:rPr>
            </w:pPr>
            <w:r>
              <w:rPr>
                <w:rFonts w:ascii="Times New Roman" w:cs="Times New Roman" w:eastAsia="Times New Roman" w:hAnsi="Times New Roman"/>
                <w:sz w:val="18"/>
                <w:szCs w:val="18"/>
                <w:color w:val="auto"/>
              </w:rPr>
              <w:t>Shane George</w:t>
            </w:r>
            <w:r>
              <w:rPr>
                <w:rFonts w:ascii="Times New Roman" w:cs="Times New Roman" w:eastAsia="Times New Roman" w:hAnsi="Times New Roman"/>
                <w:sz w:val="24"/>
                <w:szCs w:val="24"/>
                <w:color w:val="auto"/>
                <w:vertAlign w:val="superscript"/>
              </w:rPr>
              <w:t>(4)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Tamir Saeed</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Ian Michael Fearon</w:t>
            </w:r>
          </w:p>
        </w:tc>
        <w:tc>
          <w:tcPr>
            <w:tcW w:w="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Pr>
          <w:p>
            <w:pPr>
              <w:ind w:left="40"/>
              <w:spacing w:after="0" w:line="236" w:lineRule="exact"/>
              <w:rPr>
                <w:sz w:val="20"/>
                <w:szCs w:val="20"/>
                <w:color w:val="auto"/>
              </w:rPr>
            </w:pPr>
            <w:r>
              <w:rPr>
                <w:rFonts w:ascii="Times New Roman" w:cs="Times New Roman" w:eastAsia="Times New Roman" w:hAnsi="Times New Roman"/>
                <w:sz w:val="18"/>
                <w:szCs w:val="18"/>
                <w:color w:val="auto"/>
              </w:rPr>
              <w:t>Manuel Stotz</w:t>
            </w:r>
            <w:r>
              <w:rPr>
                <w:rFonts w:ascii="Times New Roman" w:cs="Times New Roman" w:eastAsia="Times New Roman" w:hAnsi="Times New Roman"/>
                <w:sz w:val="24"/>
                <w:szCs w:val="24"/>
                <w:color w:val="auto"/>
                <w:vertAlign w:val="superscript"/>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97,404,379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Andrew Gundlach</w:t>
            </w:r>
          </w:p>
        </w:tc>
        <w:tc>
          <w:tcPr>
            <w:tcW w:w="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60" w:type="dxa"/>
            <w:vAlign w:val="bottom"/>
          </w:tcPr>
          <w:p>
            <w:pPr>
              <w:ind w:left="40"/>
              <w:spacing w:after="0" w:line="236" w:lineRule="exact"/>
              <w:rPr>
                <w:sz w:val="20"/>
                <w:szCs w:val="20"/>
                <w:color w:val="auto"/>
              </w:rPr>
            </w:pPr>
            <w:r>
              <w:rPr>
                <w:rFonts w:ascii="Times New Roman" w:cs="Times New Roman" w:eastAsia="Times New Roman" w:hAnsi="Times New Roman"/>
                <w:sz w:val="18"/>
                <w:szCs w:val="18"/>
                <w:color w:val="auto"/>
              </w:rPr>
              <w:t>Reinhard Mieck</w:t>
            </w:r>
            <w:r>
              <w:rPr>
                <w:rFonts w:ascii="Times New Roman" w:cs="Times New Roman" w:eastAsia="Times New Roman" w:hAnsi="Times New Roman"/>
                <w:sz w:val="24"/>
                <w:szCs w:val="24"/>
                <w:color w:val="auto"/>
                <w:vertAlign w:val="superscript"/>
              </w:rPr>
              <w:t>(6)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908,300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Faisal Bari</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Husam Manna</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Pubco directors and executive officers as a group (eleven</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99,761,498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i w:val="1"/>
                <w:iCs w:val="1"/>
                <w:color w:val="auto"/>
              </w:rPr>
              <w:t>Other 5% Shareholders</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Affiliates of Kingsway Capital Partners Limited</w:t>
            </w:r>
            <w:r>
              <w:rPr>
                <w:rFonts w:ascii="Times New Roman" w:cs="Times New Roman" w:eastAsia="Times New Roman" w:hAnsi="Times New Roman"/>
                <w:sz w:val="24"/>
                <w:szCs w:val="24"/>
                <w:color w:val="auto"/>
                <w:vertAlign w:val="superscript"/>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97,404,379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KIM AIR Limited</w:t>
            </w:r>
            <w:r>
              <w:rPr>
                <w:rFonts w:ascii="Times New Roman" w:cs="Times New Roman" w:eastAsia="Times New Roman" w:hAnsi="Times New Roman"/>
                <w:sz w:val="24"/>
                <w:szCs w:val="24"/>
                <w:color w:val="auto"/>
                <w:vertAlign w:val="superscript"/>
              </w:rPr>
              <w:t>(7)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15,463,722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Affiliates of Acacia Funds</w:t>
            </w:r>
            <w:r>
              <w:rPr>
                <w:rFonts w:ascii="Times New Roman" w:cs="Times New Roman" w:eastAsia="Times New Roman" w:hAnsi="Times New Roman"/>
                <w:sz w:val="24"/>
                <w:szCs w:val="24"/>
                <w:color w:val="auto"/>
                <w:vertAlign w:val="superscript"/>
              </w:rPr>
              <w:t>(8)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10,150,130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of Jordan plc</w:t>
            </w:r>
            <w:r>
              <w:rPr>
                <w:rFonts w:ascii="Times New Roman" w:cs="Times New Roman" w:eastAsia="Times New Roman" w:hAnsi="Times New Roman"/>
                <w:sz w:val="24"/>
                <w:szCs w:val="24"/>
                <w:color w:val="auto"/>
                <w:vertAlign w:val="superscript"/>
              </w:rPr>
              <w:t>(9)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9,906,941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46355</wp:posOffset>
            </wp:positionV>
            <wp:extent cx="6343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98" w:lineRule="exact"/>
        <w:rPr>
          <w:sz w:val="20"/>
          <w:szCs w:val="20"/>
          <w:color w:val="auto"/>
        </w:rPr>
      </w:pPr>
    </w:p>
    <w:p>
      <w:pPr>
        <w:ind w:left="720" w:hanging="279"/>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one percent (1%) of the total outstanding Pubco Ordinary Shares.</w:t>
      </w:r>
    </w:p>
    <w:p>
      <w:pPr>
        <w:spacing w:after="0" w:line="208" w:lineRule="exact"/>
        <w:rPr>
          <w:sz w:val="20"/>
          <w:szCs w:val="20"/>
          <w:color w:val="auto"/>
        </w:rPr>
      </w:pPr>
    </w:p>
    <w:p>
      <w:pPr>
        <w:ind w:left="760" w:hanging="31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34,547 AIR Earnout Shares that are subject to AIR Earnout Conditions.</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6,951 AIR Earnout Shares that are subject to AIR Earnout Conditions.</w:t>
      </w:r>
    </w:p>
    <w:p>
      <w:pPr>
        <w:spacing w:after="0" w:line="225"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10,604 AIR Earnout Shares that are subject to AIR Earnout Conditions.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194" w:lineRule="exact"/>
        <w:rPr>
          <w:sz w:val="20"/>
          <w:szCs w:val="20"/>
          <w:color w:val="auto"/>
        </w:rPr>
      </w:pPr>
    </w:p>
    <w:p>
      <w:pPr>
        <w:ind w:left="760" w:hanging="31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1,771 AIR Earnout Shares that are subject to AIR Earnout Conditions.</w:t>
      </w:r>
    </w:p>
    <w:p>
      <w:pPr>
        <w:spacing w:after="0" w:line="225" w:lineRule="exact"/>
        <w:rPr>
          <w:rFonts w:ascii="Times New Roman" w:cs="Times New Roman" w:eastAsia="Times New Roman" w:hAnsi="Times New Roman"/>
          <w:sz w:val="18"/>
          <w:szCs w:val="18"/>
          <w:color w:val="auto"/>
        </w:rPr>
      </w:pPr>
    </w:p>
    <w:p>
      <w:pPr>
        <w:jc w:val="both"/>
        <w:ind w:left="760" w:right="459" w:hanging="319"/>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4,638,302 AIR Earnout Shares that are subject to AIR Earnout Conditions. Represents (i) 46,876,625 Pubco Ordinary Shares held by Kingsway Fund – Frontier Consumer Franchises, (ii) 30,921,786 Pubco Ordinary Shares held by Kingsway FCF Overflow SPC – Segregated Portfolio One, (iii) 2,567,069 Pubco Ordinary Shares held by Kingsway FCF Overflow SPC – Segregated Portfolio Two, (iv) 6,064,204 Pubco Ordinary Shares held by Kingsway FCF Overflow SPC – Segregated Portfolio Five, and</w:t>
      </w:r>
    </w:p>
    <w:p>
      <w:pPr>
        <w:spacing w:after="0" w:line="3" w:lineRule="exact"/>
        <w:rPr>
          <w:rFonts w:ascii="Times New Roman" w:cs="Times New Roman" w:eastAsia="Times New Roman" w:hAnsi="Times New Roman"/>
          <w:sz w:val="18"/>
          <w:szCs w:val="18"/>
          <w:color w:val="auto"/>
        </w:rPr>
      </w:pPr>
    </w:p>
    <w:p>
      <w:pPr>
        <w:jc w:val="both"/>
        <w:ind w:left="760" w:right="459" w:firstLine="5"/>
        <w:spacing w:after="0" w:line="251" w:lineRule="auto"/>
        <w:tabs>
          <w:tab w:leader="none" w:pos="103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10,974,695 Pubco Ordinary Shares held by Kingsway FCF Overflow SPC – Segregated Portfolio Six (collectively, the “Kingsway Entities”). Kingsway Capital Partners Limited (“Kingsway”) acts as the investment manager of each of the Kingsway Entities. Manuel Stotz, as Chief Executive Officer and control person of Kingsway, has voting and investment control of the shares held by each of the Kingsway Entities and may be deemed to be the beneficial owner of such shares. The registered address of Kingsway Fund – Frontier Consumer Franchises is 15 Avenue J.F. Kennedy, L-1855 Luxembourg. The registered address of each of the other Kingsway Entities is c/o Walkers Corporate Limited, 190 Elgin Avenue, George Town, Grand Cayman KY1-9008, Cayman Islands.</w:t>
      </w:r>
    </w:p>
    <w:p>
      <w:pPr>
        <w:spacing w:after="0" w:line="193"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43,252 AIR Earnout Shares that are subject to AIR Earnout Conditions.</w:t>
      </w:r>
    </w:p>
    <w:p>
      <w:pPr>
        <w:spacing w:after="0" w:line="225" w:lineRule="exact"/>
        <w:rPr>
          <w:rFonts w:ascii="Times New Roman" w:cs="Times New Roman" w:eastAsia="Times New Roman" w:hAnsi="Times New Roman"/>
          <w:sz w:val="18"/>
          <w:szCs w:val="18"/>
          <w:color w:val="auto"/>
        </w:rPr>
      </w:pPr>
    </w:p>
    <w:p>
      <w:pPr>
        <w:jc w:val="both"/>
        <w:ind w:left="760" w:right="459" w:hanging="319"/>
        <w:spacing w:after="0" w:line="25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736,367 AIR Earnout Shares that are subject to AIR Earnout Conditions. Represents 15,463,722 Pubco Ordinary Shares held by KIM AIR Limited, a Jersey company whose registered address is 4th Floor, St Paul’s Gate, 22-24 New Street, St Helier, Jersey JE1 4TR. Khaleel Mamoori exercises voting control and investment power over the Pubco Ordinary Shares held by KIM AIR Limited and may be deemed to have beneficial ownership of all of these Pubco Ordinary Shares.</w:t>
      </w:r>
    </w:p>
    <w:p>
      <w:pPr>
        <w:spacing w:after="0" w:line="183" w:lineRule="exact"/>
        <w:rPr>
          <w:rFonts w:ascii="Times New Roman" w:cs="Times New Roman" w:eastAsia="Times New Roman" w:hAnsi="Times New Roman"/>
          <w:sz w:val="18"/>
          <w:szCs w:val="18"/>
          <w:color w:val="auto"/>
        </w:rPr>
      </w:pPr>
    </w:p>
    <w:p>
      <w:pPr>
        <w:jc w:val="both"/>
        <w:ind w:left="760" w:right="459" w:hanging="319"/>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483,339 AIR Earnout Shares that are subject to AIR Earnout Conditions. Represents (i) 3,646,842 Pubco Ordinary Shares held by ACACIA Partners, L.P., (ii) 3,434,072 Pubco Ordinary Shares held by ACACIA Conservation Fund, L.P., (iii) 383,649 Pubco Ordinary Shares held by ACACIA II Partners, L.P., and (iv) 2,685,567 Pubco Ordinary Shares held by ACACIA Conservation Master Fund (Offshore) L.P. (collectively, the “Acacia Entities”). Conifer Management, L.L.C. is the Registered Investment Adviser and Investment Manager of the Acacia Entities. Gregory Alexander is the portfolio manager of Conifer Management, L.L.C. and exercises sole voting and investment power over the Pubco Ordinary Shares held by the Acacia Entities and may be deemed to have beneficial ownership of all of these Pubco Ordinary Shares.</w:t>
      </w:r>
    </w:p>
    <w:p>
      <w:pPr>
        <w:spacing w:after="0" w:line="188" w:lineRule="exact"/>
        <w:rPr>
          <w:rFonts w:ascii="Times New Roman" w:cs="Times New Roman" w:eastAsia="Times New Roman" w:hAnsi="Times New Roman"/>
          <w:sz w:val="18"/>
          <w:szCs w:val="18"/>
          <w:color w:val="auto"/>
        </w:rPr>
      </w:pPr>
    </w:p>
    <w:p>
      <w:pPr>
        <w:ind w:left="760" w:hanging="319"/>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471,759 AIR Earnout Shares that are subject to AIR Earnout Conditions.</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Related Party Transactions</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certain related party transactions of Pubco and AIR is included in the Proxy Statement/Prospectus under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tab/>
        <w:t>Interests of Experts and Counsel</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tab/>
        <w:t>Consolidated Statements and Other Financial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18 of this Report for consolidated financial statements and other financial information.</w:t>
      </w:r>
    </w:p>
    <w:p>
      <w:pPr>
        <w:spacing w:after="0" w:line="225"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Following and as a result of the Transactions, the business of Pubco is conducted through its direct, wholly owned subsidiary, AIR. Information regarding legal proceedings involving AIR and its subsidiaries is included in the Proxy Statement/Prospectus under the section titled “</w:t>
      </w:r>
      <w:r>
        <w:rPr>
          <w:rFonts w:ascii="Times New Roman" w:cs="Times New Roman" w:eastAsia="Times New Roman" w:hAnsi="Times New Roman"/>
          <w:sz w:val="18"/>
          <w:szCs w:val="18"/>
          <w:i w:val="1"/>
          <w:iCs w:val="1"/>
          <w:color w:val="auto"/>
        </w:rPr>
        <w:t>Business of AIR and Certain Information About 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and is incorporated herein by reference.</w:t>
      </w:r>
    </w:p>
    <w:p>
      <w:pPr>
        <w:spacing w:after="0" w:line="180"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In addition to the legal proceedings noted in the Proxy Statement/Prospectus, the following sets forth further development related to the disputes with our former Ajman Sponsor.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Disputes with our former Ajman Sponsor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812" w:gutter="0" w:footer="0" w:header="0"/>
        </w:sectPr>
      </w:pPr>
    </w:p>
    <w:bookmarkStart w:id="11" w:name="page12"/>
    <w:bookmarkEnd w:id="11"/>
    <w:p>
      <w:pPr>
        <w:spacing w:after="0" w:line="194" w:lineRule="exact"/>
        <w:rPr>
          <w:sz w:val="20"/>
          <w:szCs w:val="20"/>
          <w:color w:val="auto"/>
        </w:rPr>
      </w:pPr>
    </w:p>
    <w:p>
      <w:pPr>
        <w:jc w:val="both"/>
        <w:ind w:left="440" w:right="459"/>
        <w:spacing w:after="0" w:line="255" w:lineRule="auto"/>
        <w:rPr>
          <w:sz w:val="20"/>
          <w:szCs w:val="20"/>
          <w:color w:val="auto"/>
        </w:rPr>
      </w:pPr>
      <w:r>
        <w:rPr>
          <w:rFonts w:ascii="Times New Roman" w:cs="Times New Roman" w:eastAsia="Times New Roman" w:hAnsi="Times New Roman"/>
          <w:sz w:val="18"/>
          <w:szCs w:val="18"/>
          <w:color w:val="auto"/>
        </w:rPr>
        <w:t>On May 6, 2026, the Dubai Court of First Instance issued its judgment in relation to the civil lawsuit by our Ajman free zone subsidiary against Al Fakher Tobacco Factory LLC, Al-Qumma for Tobacco Trading and Mr. Al Ghamlasi personally. The lawsuit alleged that Mr. Al Ghamlasi registered a new entity under a trade name nearly identical to that of our Ajman subsidiary and began using that name on tobacco products in the market. The lawsuit sought an order requiring the defendants to change the allegedly infringing trade name, an injunction requiring them to cease all use of our trade name on their products and joint and several damages of $20 million (AED 73,400,000).</w:t>
      </w:r>
    </w:p>
    <w:p>
      <w:pPr>
        <w:spacing w:after="0" w:line="189" w:lineRule="exact"/>
        <w:rPr>
          <w:sz w:val="20"/>
          <w:szCs w:val="20"/>
          <w:color w:val="auto"/>
        </w:rPr>
      </w:pPr>
    </w:p>
    <w:p>
      <w:pPr>
        <w:jc w:val="both"/>
        <w:ind w:left="440" w:right="459"/>
        <w:spacing w:after="0" w:line="256" w:lineRule="auto"/>
        <w:rPr>
          <w:sz w:val="20"/>
          <w:szCs w:val="20"/>
          <w:color w:val="auto"/>
        </w:rPr>
      </w:pPr>
      <w:r>
        <w:rPr>
          <w:rFonts w:ascii="Times New Roman" w:cs="Times New Roman" w:eastAsia="Times New Roman" w:hAnsi="Times New Roman"/>
          <w:sz w:val="18"/>
          <w:szCs w:val="18"/>
          <w:color w:val="auto"/>
        </w:rPr>
        <w:t>In its judgment, the Dubai Court of First Instance ordered the registration of the tradename of Mr. Al Ghamlasi’s company “Al Fakher Tobacco Factory LLC” to be stricken off and cancelled, and for that tradename to be removed from all state records and departments, particularly the Department of Economy and Tourism of Dubai. Furthermore, the court ordered the defendants to cease using that tradename or our trademark, and remove it from all of its products. Nevertheless, the court denied our claim for damages of $20 million (AED 73,400,000). The parties have 30 days to appeal the decision.</w:t>
      </w:r>
    </w:p>
    <w:p>
      <w:pPr>
        <w:spacing w:after="0" w:line="183"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Significant Changes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tab/>
        <w:t>Offer and Listing Details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Nasdaq Listing of Pubco Ordinary Shares</w:t>
      </w:r>
    </w:p>
    <w:p>
      <w:pPr>
        <w:spacing w:after="0" w:line="225" w:lineRule="exact"/>
        <w:rPr>
          <w:sz w:val="20"/>
          <w:szCs w:val="20"/>
          <w:color w:val="auto"/>
        </w:rPr>
      </w:pPr>
    </w:p>
    <w:p>
      <w:pPr>
        <w:jc w:val="both"/>
        <w:ind w:left="440" w:right="459"/>
        <w:spacing w:after="0" w:line="258" w:lineRule="auto"/>
        <w:rPr>
          <w:sz w:val="20"/>
          <w:szCs w:val="20"/>
          <w:color w:val="auto"/>
        </w:rPr>
      </w:pPr>
      <w:r>
        <w:rPr>
          <w:rFonts w:ascii="Times New Roman" w:cs="Times New Roman" w:eastAsia="Times New Roman" w:hAnsi="Times New Roman"/>
          <w:sz w:val="18"/>
          <w:szCs w:val="18"/>
          <w:color w:val="auto"/>
        </w:rPr>
        <w:t>Pubco Ordinary Shares are listed on Nasdaq under the symbol “AIIR.” Holders of Pubco Ordinary Shares should obtain current market quotations for their securities. There can be no assurance that the Pubco Ordinary Shares will remain listed on Nasdaq. If Pubco fails to comply with the Nasdaq listing requirements, Pubco Ordinary Shares could be delisted from Nasdaq. A delisting of Pubco Ordinary Shares will likely affect their liquidity and could inhibit or restrict the ability of Pubco to raise additional financing.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the lock-up restrictions applicable to certain Pubco Ordinary Shares held by the Sponsor and the AIR Shareholders is included in the Proxy Statement/Prospectus under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 and Ancillary Documents</w:t>
      </w:r>
      <w:r>
        <w:rPr>
          <w:rFonts w:ascii="Times New Roman" w:cs="Times New Roman" w:eastAsia="Times New Roman" w:hAnsi="Times New Roman"/>
          <w:sz w:val="18"/>
          <w:szCs w:val="18"/>
          <w:color w:val="auto"/>
        </w:rPr>
        <w:t>” and is incorporated herein by reference.</w:t>
      </w:r>
    </w:p>
    <w:p>
      <w:pPr>
        <w:spacing w:after="0" w:line="176"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Closing, the parties to the Sponsor Support Agreement entered into a waiver and release agreement waiving the lock-up restrictions under the Sponsor Support Agreement with respect to 1,000,000 Pubco Ordinary Shares issued to the Sponsor at Closing, in order to facilitate compliance with certain Nasdaq requirements.</w:t>
      </w:r>
    </w:p>
    <w:p>
      <w:pPr>
        <w:spacing w:after="0" w:line="180"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Further, in connection with the Closing, the parties to the Business Combination Agreement also entered into a waiver agreement waiving the lock-up restrictions under the Business Combination Agreement with respect to 10,400 Pubco Ordinary Shares issued to certain shareholders of AIR in exchange for AIR Ordinary Shares, in order to facilitate compliance with certain Nasdaq listing requirements.</w:t>
      </w:r>
    </w:p>
    <w:p>
      <w:pPr>
        <w:spacing w:after="0" w:line="176"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Plan of Distribution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tab/>
        <w:t>Markets</w:t>
      </w:r>
    </w:p>
    <w:p>
      <w:pPr>
        <w:spacing w:after="0" w:line="229"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Pubco Ordinary Shares are listed on Nasdaq under the symbol “AIIR.” There can be no assurance that the Pubco Ordinary Shares will remain listed on Nasdaq. If Pubco fails to comply with the Nasdaq listing requirements, the Pubco Ordinary Shares could be delisted from Nasdaq. A delisting of the Pubco Ordinary Shares will likely affect their liquidity and could inhibit or restrict the ability of Pubco to raise additional financing.</w:t>
      </w:r>
    </w:p>
    <w:p>
      <w:pPr>
        <w:spacing w:after="0" w:line="176"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 w:name="page13"/>
    <w:bookmarkEnd w:id="12"/>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E.</w:t>
        <w:tab/>
        <w:t>Dilution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Expenses of the Issue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Pubco is authorized to issue 600,000,000 Shares divided into (i) 500,000,000 Pubco Ordinary Shares with a par value of $0.0001 each, (ii) 50,000,000 redeemable deferred shares with a par value of $0.0001 each and (iii) 50,000,000 preferred shares with a par value of $0.0001 each.</w:t>
      </w:r>
    </w:p>
    <w:p>
      <w:pPr>
        <w:spacing w:after="0" w:line="176"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As of the Closing Date, after giving effect to the Transactions, there were 160,386,602 Pubco Ordinary Shares issued and outstanding.</w:t>
      </w:r>
    </w:p>
    <w:p>
      <w:pPr>
        <w:spacing w:after="0" w:line="162"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Information regarding our share capital is included in the Proxy Statement/Prospectus under the section titled “</w:t>
      </w:r>
      <w:r>
        <w:rPr>
          <w:rFonts w:ascii="Times New Roman" w:cs="Times New Roman" w:eastAsia="Times New Roman" w:hAnsi="Times New Roman"/>
          <w:sz w:val="18"/>
          <w:szCs w:val="18"/>
          <w:i w:val="1"/>
          <w:iCs w:val="1"/>
          <w:color w:val="auto"/>
        </w:rPr>
        <w:t>Description of Pubco Securities</w:t>
      </w:r>
      <w:r>
        <w:rPr>
          <w:rFonts w:ascii="Times New Roman" w:cs="Times New Roman" w:eastAsia="Times New Roman" w:hAnsi="Times New Roman"/>
          <w:sz w:val="18"/>
          <w:szCs w:val="18"/>
          <w:color w:val="auto"/>
        </w:rPr>
        <w:t>” and is incorporated herein by reference.</w:t>
      </w:r>
    </w:p>
    <w:p>
      <w:pPr>
        <w:spacing w:after="0" w:line="15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tab/>
        <w:t>Memorandum and Articles of Association</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certain material provisions of the Memorandum and Articles of Association of Pubco is included in the Proxy Statement/Prospectus under the section titled “</w:t>
      </w:r>
      <w:r>
        <w:rPr>
          <w:rFonts w:ascii="Times New Roman" w:cs="Times New Roman" w:eastAsia="Times New Roman" w:hAnsi="Times New Roman"/>
          <w:sz w:val="18"/>
          <w:szCs w:val="18"/>
          <w:i w:val="1"/>
          <w:iCs w:val="1"/>
          <w:color w:val="auto"/>
        </w:rPr>
        <w:t>Description of Pubco Securities</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C.</w:t>
        <w:tab/>
        <w:t>Material Contracts</w:t>
      </w:r>
    </w:p>
    <w:p>
      <w:pPr>
        <w:spacing w:after="0" w:line="229" w:lineRule="exact"/>
        <w:rPr>
          <w:sz w:val="20"/>
          <w:szCs w:val="20"/>
          <w:color w:val="auto"/>
        </w:rPr>
      </w:pPr>
    </w:p>
    <w:p>
      <w:pPr>
        <w:jc w:val="both"/>
        <w:ind w:left="440" w:right="459"/>
        <w:spacing w:after="0" w:line="265" w:lineRule="auto"/>
        <w:rPr>
          <w:sz w:val="20"/>
          <w:szCs w:val="20"/>
          <w:color w:val="auto"/>
        </w:rPr>
      </w:pPr>
      <w:r>
        <w:rPr>
          <w:rFonts w:ascii="Times New Roman" w:cs="Times New Roman" w:eastAsia="Times New Roman" w:hAnsi="Times New Roman"/>
          <w:sz w:val="18"/>
          <w:szCs w:val="18"/>
          <w:color w:val="auto"/>
        </w:rPr>
        <w:t>Information regarding certain material contracts is included in the Proxy Statement/Prospectus under the sections titled “</w:t>
      </w:r>
      <w:r>
        <w:rPr>
          <w:rFonts w:ascii="Times New Roman" w:cs="Times New Roman" w:eastAsia="Times New Roman" w:hAnsi="Times New Roman"/>
          <w:sz w:val="18"/>
          <w:szCs w:val="18"/>
          <w:i w:val="1"/>
          <w:iCs w:val="1"/>
          <w:color w:val="auto"/>
        </w:rPr>
        <w:t>The Business Combination Agreement and Ancillary Documents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Party Transactions</w:t>
      </w:r>
      <w:r>
        <w:rPr>
          <w:rFonts w:ascii="Times New Roman" w:cs="Times New Roman" w:eastAsia="Times New Roman" w:hAnsi="Times New Roman"/>
          <w:sz w:val="18"/>
          <w:szCs w:val="18"/>
          <w:color w:val="auto"/>
        </w:rPr>
        <w:t>” as well as the section titled “</w:t>
      </w:r>
      <w:r>
        <w:rPr>
          <w:rFonts w:ascii="Times New Roman" w:cs="Times New Roman" w:eastAsia="Times New Roman" w:hAnsi="Times New Roman"/>
          <w:sz w:val="18"/>
          <w:szCs w:val="18"/>
          <w:i w:val="1"/>
          <w:iCs w:val="1"/>
          <w:color w:val="auto"/>
        </w:rPr>
        <w:t>Forward Purchase Agreement</w:t>
      </w:r>
      <w:r>
        <w:rPr>
          <w:rFonts w:ascii="Times New Roman" w:cs="Times New Roman" w:eastAsia="Times New Roman" w:hAnsi="Times New Roman"/>
          <w:sz w:val="18"/>
          <w:szCs w:val="18"/>
          <w:color w:val="auto"/>
        </w:rPr>
        <w:t>” in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dated May 11, 2026, each of which is incorporated herein by reference.</w:t>
      </w:r>
      <w:r>
        <w:rPr>
          <w:rFonts w:ascii="Times New Roman" w:cs="Times New Roman" w:eastAsia="Times New Roman" w:hAnsi="Times New Roman"/>
          <w:sz w:val="24"/>
          <w:szCs w:val="24"/>
          <w:color w:val="auto"/>
          <w:vertAlign w:val="superscript"/>
        </w:rPr>
        <w:t>1</w:t>
      </w:r>
    </w:p>
    <w:p>
      <w:pPr>
        <w:spacing w:after="0" w:line="99"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There are currently no exchange control regulations in Jersey applicable to Pubco or its shareholders. The Jersey Financial Services Commission has given, and not withdrawn, its consent under Article 2 of the Control of Borrowing (Jersey) Order 1958 to the issue of the Pubco Ordinary Shares.</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E.</w:t>
        <w:tab/>
        <w:t>Taxation</w:t>
      </w:r>
    </w:p>
    <w:p>
      <w:pPr>
        <w:spacing w:after="0" w:line="229"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Information regarding certain U.S. tax consequences of owning and disposing of Pubco Ordinary Shares is included in the Proxy Statement/Prospectus under the section titled “</w:t>
      </w:r>
      <w:r>
        <w:rPr>
          <w:rFonts w:ascii="Times New Roman" w:cs="Times New Roman" w:eastAsia="Times New Roman" w:hAnsi="Times New Roman"/>
          <w:sz w:val="18"/>
          <w:szCs w:val="18"/>
          <w:i w:val="1"/>
          <w:iCs w:val="1"/>
          <w:color w:val="auto"/>
        </w:rPr>
        <w:t>Certain Tax Considerations</w:t>
      </w:r>
      <w:r>
        <w:rPr>
          <w:rFonts w:ascii="Times New Roman" w:cs="Times New Roman" w:eastAsia="Times New Roman" w:hAnsi="Times New Roman"/>
          <w:sz w:val="18"/>
          <w:szCs w:val="18"/>
          <w:color w:val="auto"/>
        </w:rPr>
        <w:t>” and is incorporated herein by reference.</w:t>
      </w:r>
    </w:p>
    <w:p>
      <w:pPr>
        <w:spacing w:after="0" w:line="17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F.</w:t>
        <w:tab/>
        <w:t>Dividends and Paying Agents</w:t>
      </w:r>
    </w:p>
    <w:p>
      <w:pPr>
        <w:spacing w:after="0" w:line="229" w:lineRule="exact"/>
        <w:rPr>
          <w:sz w:val="20"/>
          <w:szCs w:val="20"/>
          <w:color w:val="auto"/>
        </w:rPr>
      </w:pPr>
    </w:p>
    <w:p>
      <w:pPr>
        <w:jc w:val="both"/>
        <w:ind w:left="440" w:right="459"/>
        <w:spacing w:after="0" w:line="256" w:lineRule="auto"/>
        <w:rPr>
          <w:sz w:val="20"/>
          <w:szCs w:val="20"/>
          <w:color w:val="auto"/>
        </w:rPr>
      </w:pPr>
      <w:r>
        <w:rPr>
          <w:rFonts w:ascii="Times New Roman" w:cs="Times New Roman" w:eastAsia="Times New Roman" w:hAnsi="Times New Roman"/>
          <w:sz w:val="18"/>
          <w:szCs w:val="18"/>
          <w:color w:val="auto"/>
        </w:rPr>
        <w:t>Pubco has not paid any cash dividends on its equity securities to date. The payment of cash dividends in the future will be dependent upon the revenues and earnings, if any, capital requirements and general financial condition of Pubco. The payment of any cash dividends will be within the discretion of the Pubco Board. It is currently not expected that the Pubco Board will declare any dividends in the foreseeable future. Further, the ability of Pubco to declare dividends may be limited by the terms of financing or other agreements entered into by Pubco or its subsidiaries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49530</wp:posOffset>
            </wp:positionV>
            <wp:extent cx="1688465"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21" w:lineRule="exact"/>
        <w:rPr>
          <w:sz w:val="20"/>
          <w:szCs w:val="20"/>
          <w:color w:val="auto"/>
        </w:rPr>
      </w:pPr>
    </w:p>
    <w:p>
      <w:pPr>
        <w:ind w:left="4420" w:right="979" w:hanging="3979"/>
        <w:spacing w:after="0" w:line="718" w:lineRule="auto"/>
        <w:tabs>
          <w:tab w:leader="none" w:pos="552"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Note to AIR: Please confirm if there are any new contracts that should be disclosed as material contract.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109855</wp:posOffset>
            </wp:positionV>
            <wp:extent cx="684911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600" w:gutter="0" w:footer="0" w:header="0"/>
        </w:sectPr>
      </w:pPr>
    </w:p>
    <w:bookmarkStart w:id="13" w:name="page14"/>
    <w:bookmarkEnd w:id="13"/>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9" w:lineRule="exact"/>
        <w:rPr>
          <w:sz w:val="20"/>
          <w:szCs w:val="20"/>
          <w:color w:val="auto"/>
        </w:rPr>
      </w:pPr>
    </w:p>
    <w:p>
      <w:pPr>
        <w:ind w:left="440" w:right="51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AIR Limited incorporated in this Report by reference to the Proxy Statement/Prospectus have been so incorporated in reliance on the report of PricewaterhouseCoopers Limited Partnership Dubai Branch, an independent registered public accounting firm, given on the authority of said firm as experts in accounting and auditing.</w:t>
      </w:r>
    </w:p>
    <w:p>
      <w:pPr>
        <w:spacing w:after="0" w:line="180" w:lineRule="exact"/>
        <w:rPr>
          <w:sz w:val="20"/>
          <w:szCs w:val="20"/>
          <w:color w:val="auto"/>
        </w:rPr>
      </w:pPr>
    </w:p>
    <w:p>
      <w:pPr>
        <w:jc w:val="both"/>
        <w:ind w:left="440" w:right="459"/>
        <w:spacing w:after="0" w:line="260" w:lineRule="auto"/>
        <w:rPr>
          <w:sz w:val="20"/>
          <w:szCs w:val="20"/>
          <w:color w:val="auto"/>
        </w:rPr>
      </w:pPr>
      <w:r>
        <w:rPr>
          <w:rFonts w:ascii="Times New Roman" w:cs="Times New Roman" w:eastAsia="Times New Roman" w:hAnsi="Times New Roman"/>
          <w:sz w:val="18"/>
          <w:szCs w:val="18"/>
          <w:color w:val="auto"/>
        </w:rPr>
        <w:t>The financial statements of AIR Holdings Limited, the legal predecessor of Pubco, incorporated in this Report (which contains an explanatory paragraph relating to AIR Holdings Limited’s ability to continue as a going concern as described in Note 1.2 to the financial statements) by reference to the Proxy Statement/Prospectus have been so incorporated in reliance on the report (</w:t>
      </w:r>
      <w:r>
        <w:rPr>
          <w:rFonts w:ascii="Times New Roman" w:cs="Times New Roman" w:eastAsia="Times New Roman" w:hAnsi="Times New Roman"/>
          <w:sz w:val="17"/>
          <w:szCs w:val="17"/>
          <w:color w:val="auto"/>
        </w:rPr>
        <w:t>which contains an explanatory paragraph relating to 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Holdings Limited’s ability to continue as a going concern as described in Note 1.2 to the financial statements) of PricewaterhouseCoopers Limited Partnership Dubai Branch, an independent registered public accounting firm, given on the authority of said firm as experts in accounting and auditing.</w:t>
      </w:r>
    </w:p>
    <w:p>
      <w:pPr>
        <w:spacing w:after="0" w:line="183"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The financial statements of Cantor Equity Partners III, Inc. as of December 31, 2025 and 2024 and for the years then ended have been audited by WithumSmith+Brown, PC, independent registered public accounting firm, as set forth in their report thereon, and are incorporated by reference herein in reliance on such report given on the authority of such firm as an expert in accounting and auditing.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Documents concerning Pubco referred to in this Report may be inspected at the principal executive offices of Pubco at Festival Office Tower, Dubai Festival City, 7th Floor, Office No. 700, Dubai, United Arab Emirates.</w:t>
      </w:r>
    </w:p>
    <w:p>
      <w:pPr>
        <w:spacing w:after="0" w:line="162" w:lineRule="exact"/>
        <w:rPr>
          <w:sz w:val="20"/>
          <w:szCs w:val="20"/>
          <w:color w:val="auto"/>
        </w:rPr>
      </w:pPr>
    </w:p>
    <w:p>
      <w:pPr>
        <w:jc w:val="both"/>
        <w:ind w:left="440" w:right="459"/>
        <w:spacing w:after="0" w:line="253" w:lineRule="auto"/>
        <w:rPr>
          <w:sz w:val="20"/>
          <w:szCs w:val="20"/>
          <w:color w:val="auto"/>
        </w:rPr>
      </w:pPr>
      <w:r>
        <w:rPr>
          <w:rFonts w:ascii="Times New Roman" w:cs="Times New Roman" w:eastAsia="Times New Roman" w:hAnsi="Times New Roman"/>
          <w:sz w:val="18"/>
          <w:szCs w:val="18"/>
          <w:color w:val="auto"/>
        </w:rPr>
        <w:t>Pubco is subject to certain of the informational filing requirements of the Exchange Act. Since Pubco is a “foreign private issuer”, it is exempt from the rules and regulations under the Exchange Act prescribing the furnishing and content of proxy statements, and the officers, directors and principal shareholders of Pubco are exempt from the “short-swing” profit recovery provisions contained in Section 16 of the Exchange Act with respect to their purchase and sale of Pubco Ordinary Shares. In addition, Pubco is not required to file reports and financial statements with the SEC as frequently or as promptly as U.S. public companies whose securities are registered under the Exchange Act. However, Pubco is required to file with the SEC an Annual Report on Form 20-F containing financial statements audited by an independent accounting firm. The SEC also maintains a website at http://www.sec.gov that contains reports and other information that Pubco files with or furnishes electronically to the SEC.</w:t>
      </w:r>
    </w:p>
    <w:p>
      <w:pPr>
        <w:spacing w:after="0" w:line="190" w:lineRule="exact"/>
        <w:rPr>
          <w:sz w:val="20"/>
          <w:szCs w:val="20"/>
          <w:color w:val="auto"/>
        </w:rPr>
      </w:pPr>
    </w:p>
    <w:p>
      <w:pPr>
        <w:ind w:left="760" w:hanging="319"/>
        <w:spacing w:after="0"/>
        <w:tabs>
          <w:tab w:leader="none" w:pos="7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760" w:hanging="319"/>
        <w:spacing w:after="0"/>
        <w:tabs>
          <w:tab w:leader="none" w:pos="7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ind w:left="440" w:right="459"/>
        <w:spacing w:after="0" w:line="261" w:lineRule="auto"/>
        <w:rPr>
          <w:sz w:val="20"/>
          <w:szCs w:val="20"/>
          <w:color w:val="auto"/>
        </w:rPr>
      </w:pPr>
      <w:r>
        <w:rPr>
          <w:rFonts w:ascii="Times New Roman" w:cs="Times New Roman" w:eastAsia="Times New Roman" w:hAnsi="Times New Roman"/>
          <w:sz w:val="18"/>
          <w:szCs w:val="18"/>
          <w:color w:val="auto"/>
        </w:rPr>
        <w:t>Following and as a result of the Transactions, the business of Pubco is conducted through its direct, wholly owned subsidiary, AIR. Information regarding quantitative and qualitative disclosure about market risk is included in the Proxy Statement/Prospectus under the section titled “</w:t>
      </w:r>
      <w:r>
        <w:rPr>
          <w:rFonts w:ascii="Times New Roman" w:cs="Times New Roman" w:eastAsia="Times New Roman" w:hAnsi="Times New Roman"/>
          <w:sz w:val="18"/>
          <w:szCs w:val="18"/>
          <w:i w:val="1"/>
          <w:iCs w:val="1"/>
          <w:color w:val="auto"/>
        </w:rPr>
        <w:t>AIR’s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is incorporated herein by reference.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18.</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Cantor Equity Partners III, Inc. as of December 31, 2025 and 2024 and for the years then ended are incorporated by reference to pages F-73–F-92 in the Form F-4.</w:t>
      </w:r>
    </w:p>
    <w:p>
      <w:pPr>
        <w:spacing w:after="0" w:line="162" w:lineRule="exact"/>
        <w:rPr>
          <w:sz w:val="20"/>
          <w:szCs w:val="20"/>
          <w:color w:val="auto"/>
        </w:rPr>
      </w:pPr>
    </w:p>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AIR Holdings Limited, the legal predecessor of Pubco, as of December 31, 2025 and for the period from October 28, 2025 (inception) through December 31, 2025 are incorporated by reference to pages F-93–F-100 in the Form F-4.</w:t>
      </w:r>
    </w:p>
    <w:p>
      <w:pPr>
        <w:spacing w:after="0" w:line="176"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AIR Limited as of December 31, 2025 and 2024 and for each of the years then ended are incorporated by reference to pages F-3–F-71 in the Form F-4.</w:t>
      </w:r>
    </w:p>
    <w:p>
      <w:pPr>
        <w:spacing w:after="0" w:line="162" w:lineRule="exact"/>
        <w:rPr>
          <w:sz w:val="20"/>
          <w:szCs w:val="20"/>
          <w:color w:val="auto"/>
        </w:rPr>
      </w:pPr>
    </w:p>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of Pubco, AIR are attached as Exhibit 15.1 to this Report.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 w:name="page16"/>
    <w:bookmarkEnd w:id="15"/>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82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auto"/>
              </w:rPr>
              <w:t>ITEM 19. EXHIBITS</w:t>
            </w: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0"/>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Form File Number</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23"/>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8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Amended Memorandum and Articles of Association</w:t>
            </w:r>
          </w:p>
        </w:tc>
        <w:tc>
          <w:tcPr>
            <w:tcW w:w="1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of AIR Global PLC</w:t>
            </w:r>
          </w:p>
        </w:tc>
        <w:tc>
          <w:tcPr>
            <w:tcW w:w="2560" w:type="dxa"/>
            <w:vAlign w:val="bottom"/>
            <w:gridSpan w:val="30"/>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2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Specimen Pubco Ordinary Shares Certificate</w:t>
              </w:r>
            </w:hyperlink>
          </w:p>
        </w:tc>
        <w:tc>
          <w:tcPr>
            <w:tcW w:w="740" w:type="dxa"/>
            <w:vAlign w:val="bottom"/>
            <w:gridSpan w:val="21"/>
          </w:tcPr>
          <w:p>
            <w:pPr>
              <w:spacing w:after="0"/>
              <w:rPr>
                <w:sz w:val="21"/>
                <w:szCs w:val="21"/>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F-4  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3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Business Combination Agreement, dated as of</w:t>
              </w:r>
            </w:hyperlink>
          </w:p>
        </w:tc>
        <w:tc>
          <w:tcPr>
            <w:tcW w:w="580" w:type="dxa"/>
            <w:vAlign w:val="bottom"/>
            <w:gridSpan w:val="16"/>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November 7, 2025, by and among CAEP, Pubco,</w:t>
              </w:r>
            </w:hyperlink>
          </w:p>
        </w:tc>
        <w:tc>
          <w:tcPr>
            <w:tcW w:w="380" w:type="dxa"/>
            <w:vAlign w:val="bottom"/>
            <w:gridSpan w:val="12"/>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Cayman Merger Sub, Jersey Merger Sub and AIR.</w:t>
              </w:r>
            </w:hyperlink>
          </w:p>
        </w:tc>
        <w:tc>
          <w:tcPr>
            <w:tcW w:w="32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35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Waiver Agreement to the Business Combination</w:t>
            </w:r>
          </w:p>
        </w:tc>
        <w:tc>
          <w:tcPr>
            <w:tcW w:w="44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May 15, 2026, by and among</w:t>
            </w:r>
          </w:p>
        </w:tc>
        <w:tc>
          <w:tcPr>
            <w:tcW w:w="48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CAEP, AIR, Pubco, Cayman Merger Sub and Jersey</w:t>
            </w:r>
          </w:p>
        </w:tc>
        <w:tc>
          <w:tcPr>
            <w:tcW w:w="1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Merger Sub.</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7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Sponsor Support Agreement, dated as of November</w:t>
              </w:r>
            </w:hyperlink>
          </w:p>
        </w:tc>
        <w:tc>
          <w:tcPr>
            <w:tcW w:w="200" w:type="dxa"/>
            <w:vAlign w:val="bottom"/>
            <w:gridSpan w:val="4"/>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7, 2025, by and among Pubco, CAEP, Sponsor and</w:t>
              </w:r>
            </w:hyperlink>
          </w:p>
        </w:tc>
        <w:tc>
          <w:tcPr>
            <w:tcW w:w="24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5"/>
              </w:rPr>
            </w:pPr>
            <w:hyperlink r:id="rId37">
              <w:r>
                <w:rPr>
                  <w:rFonts w:ascii="Times New Roman" w:cs="Times New Roman" w:eastAsia="Times New Roman" w:hAnsi="Times New Roman"/>
                  <w:sz w:val="18"/>
                  <w:szCs w:val="18"/>
                  <w:color w:val="0000FF"/>
                  <w:w w:val="95"/>
                </w:rPr>
                <w:t>AIR.</w:t>
              </w:r>
            </w:hyperlink>
          </w:p>
        </w:tc>
        <w:tc>
          <w:tcPr>
            <w:tcW w:w="3620" w:type="dxa"/>
            <w:vAlign w:val="bottom"/>
            <w:gridSpan w:val="35"/>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38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Waiver and Release to Sponsor Support Agreement,</w:t>
            </w:r>
          </w:p>
        </w:tc>
        <w:tc>
          <w:tcPr>
            <w:tcW w:w="16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dated May 15, 2026, by and among Pubco, CAEP,</w:t>
            </w:r>
          </w:p>
        </w:tc>
        <w:tc>
          <w:tcPr>
            <w:tcW w:w="30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Sponsor and AIR.</w:t>
            </w:r>
          </w:p>
        </w:tc>
        <w:tc>
          <w:tcPr>
            <w:tcW w:w="2680" w:type="dxa"/>
            <w:vAlign w:val="bottom"/>
            <w:gridSpan w:val="31"/>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Amended and Restated Registration Rights</w:t>
            </w:r>
          </w:p>
        </w:tc>
        <w:tc>
          <w:tcPr>
            <w:tcW w:w="820" w:type="dxa"/>
            <w:vAlign w:val="bottom"/>
            <w:gridSpan w:val="22"/>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May 15, 2026, by and among</w:t>
            </w:r>
          </w:p>
        </w:tc>
        <w:tc>
          <w:tcPr>
            <w:tcW w:w="480" w:type="dxa"/>
            <w:vAlign w:val="bottom"/>
            <w:gridSpan w:val="14"/>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Pubco, CAEP, Sponsor and the other undersigned</w:t>
            </w:r>
          </w:p>
        </w:tc>
        <w:tc>
          <w:tcPr>
            <w:tcW w:w="34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holders thereto.</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2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Shareholder Support Agreement, dated as of</w:t>
              </w:r>
            </w:hyperlink>
          </w:p>
        </w:tc>
        <w:tc>
          <w:tcPr>
            <w:tcW w:w="740" w:type="dxa"/>
            <w:vAlign w:val="bottom"/>
            <w:gridSpan w:val="21"/>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November 7, 2025, by and among certain Key</w:t>
              </w:r>
            </w:hyperlink>
          </w:p>
        </w:tc>
        <w:tc>
          <w:tcPr>
            <w:tcW w:w="60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Company Shareholders, CAEP, AIR and Pubco.</w:t>
              </w:r>
            </w:hyperlink>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37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Forward Purchase Agreement, dated May 11, 2026,</w:t>
            </w:r>
          </w:p>
        </w:tc>
        <w:tc>
          <w:tcPr>
            <w:tcW w:w="20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by and among CAEP, Pubco and Harraden Circle</w:t>
            </w:r>
          </w:p>
        </w:tc>
        <w:tc>
          <w:tcPr>
            <w:tcW w:w="360" w:type="dxa"/>
            <w:vAlign w:val="bottom"/>
            <w:gridSpan w:val="11"/>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Borders>
              <w:bottom w:val="single" w:sz="8" w:color="0000FF"/>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Investors, LP, Harraden Circle Special Opportunities,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LP, Harraden Circle Strategic Investments, LP and</w:t>
            </w:r>
          </w:p>
        </w:tc>
        <w:tc>
          <w:tcPr>
            <w:tcW w:w="26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Harraden Circle Concentrated, LP.</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37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Senior Facilities Agreement, dated March 5, 2025,</w:t>
              </w:r>
            </w:hyperlink>
          </w:p>
        </w:tc>
        <w:tc>
          <w:tcPr>
            <w:tcW w:w="280" w:type="dxa"/>
            <w:vAlign w:val="bottom"/>
            <w:gridSpan w:val="7"/>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among AIR, AIR Group Ventures Limited as</w:t>
              </w:r>
            </w:hyperlink>
          </w:p>
        </w:tc>
        <w:tc>
          <w:tcPr>
            <w:tcW w:w="680" w:type="dxa"/>
            <w:vAlign w:val="bottom"/>
            <w:gridSpan w:val="19"/>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borrower and the arrangers thereto.</w:t>
              </w:r>
            </w:hyperlink>
          </w:p>
        </w:tc>
        <w:tc>
          <w:tcPr>
            <w:tcW w:w="1440" w:type="dxa"/>
            <w:vAlign w:val="bottom"/>
            <w:gridSpan w:val="25"/>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3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Form of Director Indemnification Agreement.</w:t>
            </w:r>
          </w:p>
        </w:tc>
        <w:tc>
          <w:tcPr>
            <w:tcW w:w="66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398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Pubco Omnibus Incentive Plan</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1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List of Subsidiaries of Pubco.</w:t>
              </w:r>
            </w:hyperlink>
          </w:p>
        </w:tc>
        <w:tc>
          <w:tcPr>
            <w:tcW w:w="1840" w:type="dxa"/>
            <w:vAlign w:val="bottom"/>
            <w:gridSpan w:val="28"/>
          </w:tcPr>
          <w:p>
            <w:pPr>
              <w:spacing w:after="0"/>
              <w:rPr>
                <w:sz w:val="19"/>
                <w:szCs w:val="19"/>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333-294714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3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Unaudited Pro Forma Condensed Combined</w:t>
            </w:r>
          </w:p>
        </w:tc>
        <w:tc>
          <w:tcPr>
            <w:tcW w:w="740" w:type="dxa"/>
            <w:vAlign w:val="bottom"/>
            <w:gridSpan w:val="21"/>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3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Consent of PricewaterhouseCoopers Limited</w:t>
            </w:r>
          </w:p>
        </w:tc>
        <w:tc>
          <w:tcPr>
            <w:tcW w:w="700" w:type="dxa"/>
            <w:vAlign w:val="bottom"/>
            <w:gridSpan w:val="20"/>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Partnership Dubai Branch (with respect to AIR</w:t>
            </w:r>
          </w:p>
        </w:tc>
        <w:tc>
          <w:tcPr>
            <w:tcW w:w="50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FF"/>
              </w:rPr>
              <w:t>Global PLC (f/k/a AIR Holdings Limited)).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900" w:type="dxa"/>
            <w:vAlign w:val="bottom"/>
            <w:gridSpan w:val="10"/>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1"/>
                <w:szCs w:val="21"/>
                <w:color w:val="auto"/>
              </w:rPr>
            </w:pPr>
          </w:p>
        </w:tc>
        <w:tc>
          <w:tcPr>
            <w:tcW w:w="3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Consent of PricewaterhouseCoopers Limited</w:t>
            </w:r>
          </w:p>
        </w:tc>
        <w:tc>
          <w:tcPr>
            <w:tcW w:w="700" w:type="dxa"/>
            <w:vAlign w:val="bottom"/>
            <w:gridSpan w:val="20"/>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Partnership Dubai Branch (with respect to AIR</w:t>
            </w:r>
          </w:p>
        </w:tc>
        <w:tc>
          <w:tcPr>
            <w:tcW w:w="500" w:type="dxa"/>
            <w:vAlign w:val="bottom"/>
            <w:gridSpan w:val="15"/>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Limited).</w:t>
            </w:r>
          </w:p>
        </w:tc>
        <w:tc>
          <w:tcPr>
            <w:tcW w:w="3300" w:type="dxa"/>
            <w:vAlign w:val="bottom"/>
            <w:gridSpan w:val="34"/>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37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Consent of WithumSmith+Brown, PC (with respect</w:t>
            </w:r>
          </w:p>
        </w:tc>
        <w:tc>
          <w:tcPr>
            <w:tcW w:w="20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to Cantor Equity Partners III, Inc.).</w:t>
            </w:r>
          </w:p>
        </w:tc>
        <w:tc>
          <w:tcPr>
            <w:tcW w:w="1400" w:type="dxa"/>
            <w:vAlign w:val="bottom"/>
            <w:gridSpan w:val="24"/>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spacing w:after="0"/>
        <w:tabs>
          <w:tab w:leader="none" w:pos="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9" w:lineRule="exact"/>
        <w:rPr>
          <w:sz w:val="20"/>
          <w:szCs w:val="20"/>
          <w:color w:val="auto"/>
        </w:rPr>
      </w:pPr>
    </w:p>
    <w:p>
      <w:pPr>
        <w:jc w:val="both"/>
        <w:ind w:left="440" w:right="459" w:firstLine="1"/>
        <w:spacing w:after="0" w:line="255" w:lineRule="auto"/>
        <w:tabs>
          <w:tab w:leader="none" w:pos="7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947"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300" w:right="1540"/>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report on its behalf.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672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AIR GLOBAL PLC</w:t>
            </w:r>
          </w:p>
        </w:tc>
      </w:tr>
      <w:tr>
        <w:trPr>
          <w:trHeight w:val="432"/>
        </w:trPr>
        <w:tc>
          <w:tcPr>
            <w:tcW w:w="40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Date: May 21,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Brazier</w:t>
            </w:r>
          </w:p>
        </w:tc>
        <w:tc>
          <w:tcPr>
            <w:tcW w:w="1320" w:type="dxa"/>
            <w:vAlign w:val="bottom"/>
          </w:tcPr>
          <w:p>
            <w:pPr>
              <w:spacing w:after="0"/>
              <w:rPr>
                <w:sz w:val="24"/>
                <w:szCs w:val="24"/>
                <w:color w:val="auto"/>
              </w:rPr>
            </w:pPr>
          </w:p>
        </w:tc>
      </w:tr>
      <w:tr>
        <w:trPr>
          <w:trHeight w:val="426"/>
        </w:trPr>
        <w:tc>
          <w:tcPr>
            <w:tcW w:w="402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Brazier</w:t>
            </w:r>
          </w:p>
        </w:tc>
      </w:tr>
      <w:tr>
        <w:trPr>
          <w:trHeight w:val="432"/>
        </w:trPr>
        <w:tc>
          <w:tcPr>
            <w:tcW w:w="4020" w:type="dxa"/>
            <w:vAlign w:val="bottom"/>
          </w:tcPr>
          <w:p>
            <w:pPr>
              <w:spacing w:after="0"/>
              <w:rPr>
                <w:sz w:val="24"/>
                <w:szCs w:val="24"/>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878"/>
        </w:trPr>
        <w:tc>
          <w:tcPr>
            <w:tcW w:w="4020" w:type="dxa"/>
            <w:vAlign w:val="bottom"/>
          </w:tcPr>
          <w:p>
            <w:pPr>
              <w:spacing w:after="0"/>
              <w:rPr>
                <w:sz w:val="24"/>
                <w:szCs w:val="24"/>
                <w:color w:val="auto"/>
              </w:rPr>
            </w:pPr>
          </w:p>
        </w:tc>
        <w:tc>
          <w:tcPr>
            <w:tcW w:w="25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17</w:t>
            </w:r>
          </w:p>
        </w:tc>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749"/>
        </w:trPr>
        <w:tc>
          <w:tcPr>
            <w:tcW w:w="40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413" w:right="579" w:bottom="1440" w:gutter="0" w:footer="0" w:header="0"/>
        </w:sectPr>
      </w:pPr>
    </w:p>
    <w:bookmarkStart w:id="17" w:name="page18"/>
    <w:bookmarkEnd w:id="17"/>
    <w:p>
      <w:pPr>
        <w:jc w:val="right"/>
        <w:ind w:right="459"/>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COMPANIES (JERSEY) LAW 1991 (AS 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1046480</wp:posOffset>
            </wp:positionV>
            <wp:extent cx="51606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AIR GLOBAL PLC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AMENDED BY SPECIAL RESOLUTION DATED 8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187960</wp:posOffset>
            </wp:positionV>
            <wp:extent cx="5160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160645"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1996440</wp:posOffset>
            </wp:positionV>
            <wp:extent cx="2400300" cy="840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40030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REF: KMCQ/AP/J50335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887730</wp:posOffset>
            </wp:positionV>
            <wp:extent cx="684911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COMPANIES (JERSEY) LAW 1991 (AS 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MEMORANDUM OF ASSOCIATION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AIR GLOBAL PLC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BY SPECIAL RESOLUTION DATED 8 MAY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0" w:hanging="63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name of the entity is AIR Global PLC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080" w:hanging="63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to be taken to be a public company.</w:t>
      </w:r>
    </w:p>
    <w:p>
      <w:pPr>
        <w:spacing w:after="0" w:line="211" w:lineRule="exact"/>
        <w:rPr>
          <w:rFonts w:ascii="Arial" w:cs="Arial" w:eastAsia="Arial" w:hAnsi="Arial"/>
          <w:sz w:val="18"/>
          <w:szCs w:val="18"/>
          <w:color w:val="auto"/>
        </w:rPr>
      </w:pPr>
    </w:p>
    <w:p>
      <w:pPr>
        <w:ind w:left="1080" w:hanging="639"/>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a par value company.</w:t>
      </w:r>
    </w:p>
    <w:p>
      <w:pPr>
        <w:spacing w:after="0" w:line="211"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 capital of the Company is US$60,000 divided into (i) 500,000,000 shares with a par value of US$0.0001 each designated as Ordinary Shares, (ii) 50,000,000 shares with a par value of US$0.0001 each designated as Redeemable Deferred Shares and (iii) 50,000,000 shares with a par value of US$0.0001 each designated as Preferred Shares.</w:t>
      </w:r>
    </w:p>
    <w:p>
      <w:pPr>
        <w:spacing w:after="0" w:line="17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liability of a Member of the Company is limited to the amount unpaid (if any) on such Member's share or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850900</wp:posOffset>
            </wp:positionV>
            <wp:extent cx="684911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9" w:name="page20"/>
    <w:bookmarkEnd w:id="19"/>
    <w:tbl>
      <w:tblPr>
        <w:tblLayout w:type="fixed"/>
        <w:tblInd w:w="440" w:type="dxa"/>
        <w:tblCellMar>
          <w:top w:w="0" w:type="dxa"/>
          <w:left w:w="0" w:type="dxa"/>
          <w:bottom w:w="0" w:type="dxa"/>
          <w:right w:w="0" w:type="dxa"/>
        </w:tblCellMar>
      </w:tblPr>
      <w:tr>
        <w:trPr>
          <w:trHeight w:val="247"/>
        </w:trPr>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r>
      <w:tr>
        <w:trPr>
          <w:trHeight w:val="446"/>
        </w:trPr>
        <w:tc>
          <w:tcPr>
            <w:tcW w:w="7000" w:type="dxa"/>
            <w:vAlign w:val="bottom"/>
            <w:gridSpan w:val="27"/>
          </w:tcPr>
          <w:p>
            <w:pPr>
              <w:spacing w:after="0"/>
              <w:rPr>
                <w:sz w:val="20"/>
                <w:szCs w:val="20"/>
                <w:color w:val="auto"/>
              </w:rPr>
            </w:pPr>
            <w:r>
              <w:rPr>
                <w:rFonts w:ascii="Arial" w:cs="Arial" w:eastAsia="Arial" w:hAnsi="Arial"/>
                <w:sz w:val="18"/>
                <w:szCs w:val="18"/>
                <w:color w:val="auto"/>
              </w:rPr>
              <w:t>ARTICLE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66"/>
        </w:trPr>
        <w:tc>
          <w:tcPr>
            <w:tcW w:w="32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DEFINITIONS AND INTERPRETATION</w:t>
            </w:r>
          </w:p>
        </w:tc>
        <w:tc>
          <w:tcPr>
            <w:tcW w:w="380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PRELIMINARY</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SHARE CAPITAL</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7000" w:type="dxa"/>
            <w:vAlign w:val="bottom"/>
            <w:gridSpan w:val="27"/>
          </w:tcPr>
          <w:p>
            <w:pPr>
              <w:spacing w:after="0"/>
              <w:rPr>
                <w:sz w:val="20"/>
                <w:szCs w:val="20"/>
                <w:color w:val="auto"/>
              </w:rPr>
            </w:pPr>
            <w:r>
              <w:rPr>
                <w:rFonts w:ascii="Arial" w:cs="Arial" w:eastAsia="Arial" w:hAnsi="Arial"/>
                <w:sz w:val="18"/>
                <w:szCs w:val="18"/>
                <w:color w:val="0000FF"/>
              </w:rPr>
              <w:t>ORDINARY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PREFERRED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SPECIAL RIGHTS ATTACHING TO THE REDEEMABLE DEFERRED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8"/>
        </w:trPr>
        <w:tc>
          <w:tcPr>
            <w:tcW w:w="292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ALTERATION OF SHARE CAPITAL</w:t>
            </w:r>
          </w:p>
        </w:tc>
        <w:tc>
          <w:tcPr>
            <w:tcW w:w="3480" w:type="dxa"/>
            <w:vAlign w:val="bottom"/>
            <w:tcBorders>
              <w:top w:val="single" w:sz="8" w:color="0000FF"/>
            </w:tcBorders>
            <w:gridSpan w:val="10"/>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VARIATION OF RIGHTS</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8"/>
        </w:trPr>
        <w:tc>
          <w:tcPr>
            <w:tcW w:w="19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SHARE CERTIFICATES</w:t>
            </w:r>
          </w:p>
        </w:tc>
        <w:tc>
          <w:tcPr>
            <w:tcW w:w="20" w:type="dxa"/>
            <w:vAlign w:val="bottom"/>
            <w:tcBorders>
              <w:top w:val="single" w:sz="8" w:color="0000FF"/>
            </w:tcBorders>
          </w:tcPr>
          <w:p>
            <w:pPr>
              <w:spacing w:after="0"/>
              <w:rPr>
                <w:sz w:val="24"/>
                <w:szCs w:val="24"/>
                <w:color w:val="auto"/>
              </w:rPr>
            </w:pPr>
          </w:p>
        </w:tc>
        <w:tc>
          <w:tcPr>
            <w:tcW w:w="5000" w:type="dxa"/>
            <w:vAlign w:val="bottom"/>
            <w:gridSpan w:val="1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99"/>
        </w:trPr>
        <w:tc>
          <w:tcPr>
            <w:tcW w:w="22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REGISTER OF MEMBERS</w:t>
            </w:r>
          </w:p>
        </w:tc>
        <w:tc>
          <w:tcPr>
            <w:tcW w:w="4800" w:type="dxa"/>
            <w:vAlign w:val="bottom"/>
            <w:gridSpan w:val="1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JOINT 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99"/>
        </w:trPr>
        <w:tc>
          <w:tcPr>
            <w:tcW w:w="144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LIEN</w:t>
            </w:r>
          </w:p>
        </w:tc>
        <w:tc>
          <w:tcPr>
            <w:tcW w:w="5560" w:type="dxa"/>
            <w:vAlign w:val="bottom"/>
            <w:gridSpan w:val="2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00" w:type="dxa"/>
            <w:vAlign w:val="bottom"/>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CALLS ON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680" w:type="dxa"/>
            <w:vAlign w:val="bottom"/>
            <w:gridSpan w:val="5"/>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8"/>
        </w:trPr>
        <w:tc>
          <w:tcPr>
            <w:tcW w:w="7000" w:type="dxa"/>
            <w:vAlign w:val="bottom"/>
            <w:gridSpan w:val="27"/>
          </w:tcPr>
          <w:p>
            <w:pPr>
              <w:spacing w:after="0"/>
              <w:rPr>
                <w:sz w:val="20"/>
                <w:szCs w:val="20"/>
                <w:color w:val="auto"/>
              </w:rPr>
            </w:pPr>
            <w:r>
              <w:rPr>
                <w:rFonts w:ascii="Arial" w:cs="Arial" w:eastAsia="Arial" w:hAnsi="Arial"/>
                <w:sz w:val="18"/>
                <w:szCs w:val="18"/>
                <w:color w:val="0000FF"/>
              </w:rPr>
              <w:t>FORFEITURE AND SURRENDER OF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14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39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TRANSFER AND TRANSMISSION OF SHARES</w:t>
            </w:r>
          </w:p>
        </w:tc>
        <w:tc>
          <w:tcPr>
            <w:tcW w:w="30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98"/>
        </w:trPr>
        <w:tc>
          <w:tcPr>
            <w:tcW w:w="39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GENERAL MEETINGS AND CLASS MEETINGS</w:t>
            </w:r>
          </w:p>
        </w:tc>
        <w:tc>
          <w:tcPr>
            <w:tcW w:w="308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8"/>
        </w:trPr>
        <w:tc>
          <w:tcPr>
            <w:tcW w:w="29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NOTICE OF GENERAL MEETINGS</w:t>
            </w:r>
          </w:p>
        </w:tc>
        <w:tc>
          <w:tcPr>
            <w:tcW w:w="41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99"/>
        </w:trPr>
        <w:tc>
          <w:tcPr>
            <w:tcW w:w="35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PROCEEDINGS AT GENERAL MEETINGS</w:t>
            </w:r>
          </w:p>
        </w:tc>
        <w:tc>
          <w:tcPr>
            <w:tcW w:w="348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98"/>
        </w:trPr>
        <w:tc>
          <w:tcPr>
            <w:tcW w:w="28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VOTING AT GENERAL MEETINGS</w:t>
            </w:r>
          </w:p>
        </w:tc>
        <w:tc>
          <w:tcPr>
            <w:tcW w:w="412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8"/>
        </w:trPr>
        <w:tc>
          <w:tcPr>
            <w:tcW w:w="33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MEMBERS' RESOLUTIONS IN WRITING</w:t>
            </w:r>
          </w:p>
        </w:tc>
        <w:tc>
          <w:tcPr>
            <w:tcW w:w="364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9"/>
        </w:trPr>
        <w:tc>
          <w:tcPr>
            <w:tcW w:w="57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PROXIES FOR GENERAL MEETINGS AND CORPORATE MEMBERS</w:t>
            </w:r>
          </w:p>
        </w:tc>
        <w:tc>
          <w:tcPr>
            <w:tcW w:w="12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8"/>
        </w:trPr>
        <w:tc>
          <w:tcPr>
            <w:tcW w:w="52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CLASSIFICATION, ELECTION AND REMOVAL OF DIRECTORS</w:t>
            </w:r>
          </w:p>
        </w:tc>
        <w:tc>
          <w:tcPr>
            <w:tcW w:w="174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8"/>
        </w:trPr>
        <w:tc>
          <w:tcPr>
            <w:tcW w:w="21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ALTERNATE DIRECTORS</w:t>
            </w:r>
          </w:p>
        </w:tc>
        <w:tc>
          <w:tcPr>
            <w:tcW w:w="4820" w:type="dxa"/>
            <w:vAlign w:val="bottom"/>
            <w:gridSpan w:val="1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21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EXECUTIVE DIRECTORS</w:t>
            </w:r>
          </w:p>
        </w:tc>
        <w:tc>
          <w:tcPr>
            <w:tcW w:w="486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22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POWERS OF DIRECTORS</w:t>
            </w:r>
          </w:p>
        </w:tc>
        <w:tc>
          <w:tcPr>
            <w:tcW w:w="478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8"/>
        </w:trPr>
        <w:tc>
          <w:tcPr>
            <w:tcW w:w="30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TRANSACTIONS WITH DIRECTORS</w:t>
            </w:r>
          </w:p>
        </w:tc>
        <w:tc>
          <w:tcPr>
            <w:tcW w:w="39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7000" w:type="dxa"/>
            <w:vAlign w:val="bottom"/>
            <w:gridSpan w:val="27"/>
          </w:tcPr>
          <w:p>
            <w:pPr>
              <w:spacing w:after="0"/>
              <w:rPr>
                <w:sz w:val="20"/>
                <w:szCs w:val="20"/>
                <w:color w:val="auto"/>
              </w:rPr>
            </w:pPr>
            <w:r>
              <w:rPr>
                <w:rFonts w:ascii="Arial" w:cs="Arial" w:eastAsia="Arial" w:hAnsi="Arial"/>
                <w:sz w:val="18"/>
                <w:szCs w:val="18"/>
                <w:color w:val="0000FF"/>
              </w:rPr>
              <w:t>PROCEEDINGS OF DIRECTORS</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740" w:type="dxa"/>
            <w:vAlign w:val="bottom"/>
            <w:gridSpan w:val="13"/>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7000" w:type="dxa"/>
            <w:vAlign w:val="bottom"/>
            <w:gridSpan w:val="27"/>
          </w:tcPr>
          <w:p>
            <w:pPr>
              <w:spacing w:after="0"/>
              <w:rPr>
                <w:sz w:val="20"/>
                <w:szCs w:val="20"/>
                <w:color w:val="auto"/>
              </w:rPr>
            </w:pPr>
            <w:r>
              <w:rPr>
                <w:rFonts w:ascii="Arial" w:cs="Arial" w:eastAsia="Arial" w:hAnsi="Arial"/>
                <w:sz w:val="18"/>
                <w:szCs w:val="18"/>
                <w:color w:val="0000FF"/>
              </w:rPr>
              <w:t>DIRECTORS' RESOLUTIONS IN WRITING</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 w:name="page21"/>
    <w:bookmarkEnd w:id="20"/>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7440" w:type="dxa"/>
            <w:vAlign w:val="bottom"/>
            <w:gridSpan w:val="13"/>
          </w:tcPr>
          <w:p>
            <w:pPr>
              <w:spacing w:after="0"/>
              <w:rPr>
                <w:sz w:val="20"/>
                <w:szCs w:val="20"/>
                <w:color w:val="auto"/>
              </w:rPr>
            </w:pPr>
            <w:r>
              <w:rPr>
                <w:rFonts w:ascii="Arial" w:cs="Arial" w:eastAsia="Arial" w:hAnsi="Arial"/>
                <w:sz w:val="18"/>
                <w:szCs w:val="18"/>
                <w:color w:val="0000FF"/>
              </w:rPr>
              <w:t>MINUTE BOOK</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8"/>
        </w:trPr>
        <w:tc>
          <w:tcPr>
            <w:tcW w:w="14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CAPITALISATION</w:t>
            </w:r>
          </w:p>
        </w:tc>
        <w:tc>
          <w:tcPr>
            <w:tcW w:w="596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8"/>
        </w:trPr>
        <w:tc>
          <w:tcPr>
            <w:tcW w:w="1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SECRETARY</w:t>
            </w:r>
          </w:p>
        </w:tc>
        <w:tc>
          <w:tcPr>
            <w:tcW w:w="632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8"/>
        </w:trPr>
        <w:tc>
          <w:tcPr>
            <w:tcW w:w="69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EXECUTION OF INSTRUMENTS, SEALS AND AUTHENTICATION OF DOCUMENTS</w:t>
            </w: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8"/>
        </w:trPr>
        <w:tc>
          <w:tcPr>
            <w:tcW w:w="7440" w:type="dxa"/>
            <w:vAlign w:val="bottom"/>
            <w:gridSpan w:val="13"/>
          </w:tcPr>
          <w:p>
            <w:pPr>
              <w:spacing w:after="0"/>
              <w:rPr>
                <w:sz w:val="20"/>
                <w:szCs w:val="20"/>
                <w:color w:val="auto"/>
              </w:rPr>
            </w:pPr>
            <w:r>
              <w:rPr>
                <w:rFonts w:ascii="Arial" w:cs="Arial" w:eastAsia="Arial" w:hAnsi="Arial"/>
                <w:sz w:val="18"/>
                <w:szCs w:val="18"/>
                <w:color w:val="0000FF"/>
              </w:rPr>
              <w:t>DIVIDENDS</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8"/>
        </w:trPr>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SHARE PREMIUM ACCOUNT AND RESERVE FUND</w:t>
            </w:r>
          </w:p>
        </w:tc>
        <w:tc>
          <w:tcPr>
            <w:tcW w:w="308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9"/>
        </w:trPr>
        <w:tc>
          <w:tcPr>
            <w:tcW w:w="2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ACCOUNTS AND AUDIT</w:t>
            </w:r>
          </w:p>
        </w:tc>
        <w:tc>
          <w:tcPr>
            <w:tcW w:w="540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8"/>
        </w:trPr>
        <w:tc>
          <w:tcPr>
            <w:tcW w:w="7440" w:type="dxa"/>
            <w:vAlign w:val="bottom"/>
            <w:gridSpan w:val="13"/>
          </w:tcPr>
          <w:p>
            <w:pPr>
              <w:spacing w:after="0"/>
              <w:rPr>
                <w:sz w:val="20"/>
                <w:szCs w:val="20"/>
                <w:color w:val="auto"/>
              </w:rPr>
            </w:pPr>
            <w:r>
              <w:rPr>
                <w:rFonts w:ascii="Arial" w:cs="Arial" w:eastAsia="Arial" w:hAnsi="Arial"/>
                <w:sz w:val="18"/>
                <w:szCs w:val="18"/>
                <w:color w:val="0000FF"/>
              </w:rPr>
              <w:t>NOTICES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8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98"/>
        </w:trPr>
        <w:tc>
          <w:tcPr>
            <w:tcW w:w="7440" w:type="dxa"/>
            <w:vAlign w:val="bottom"/>
            <w:gridSpan w:val="13"/>
          </w:tcPr>
          <w:p>
            <w:pPr>
              <w:spacing w:after="0"/>
              <w:rPr>
                <w:sz w:val="20"/>
                <w:szCs w:val="20"/>
                <w:color w:val="auto"/>
              </w:rPr>
            </w:pPr>
            <w:r>
              <w:rPr>
                <w:rFonts w:ascii="Arial" w:cs="Arial" w:eastAsia="Arial" w:hAnsi="Arial"/>
                <w:sz w:val="18"/>
                <w:szCs w:val="18"/>
                <w:color w:val="0000FF"/>
              </w:rPr>
              <w:t>WINDING UP</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8"/>
        </w:trPr>
        <w:tc>
          <w:tcPr>
            <w:tcW w:w="1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INDEMNITY</w:t>
            </w:r>
          </w:p>
        </w:tc>
        <w:tc>
          <w:tcPr>
            <w:tcW w:w="100" w:type="dxa"/>
            <w:vAlign w:val="bottom"/>
            <w:tcBorders>
              <w:top w:val="single" w:sz="8" w:color="0000FF"/>
            </w:tcBorders>
          </w:tcPr>
          <w:p>
            <w:pPr>
              <w:spacing w:after="0"/>
              <w:rPr>
                <w:sz w:val="24"/>
                <w:szCs w:val="24"/>
                <w:color w:val="auto"/>
              </w:rPr>
            </w:pPr>
          </w:p>
        </w:tc>
        <w:tc>
          <w:tcPr>
            <w:tcW w:w="634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8"/>
        </w:trPr>
        <w:tc>
          <w:tcPr>
            <w:tcW w:w="36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NON-APPLICATION OF STANDARD TABLE</w:t>
            </w:r>
          </w:p>
        </w:tc>
        <w:tc>
          <w:tcPr>
            <w:tcW w:w="382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98"/>
        </w:trPr>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RECORD DATE</w:t>
            </w:r>
          </w:p>
        </w:tc>
        <w:tc>
          <w:tcPr>
            <w:tcW w:w="612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COMPANIES (JERSEY) LAW 1991 (AS 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LIMITED BY SHARES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ASSOCIATION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AIR GLOBAL PLC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AMENDED BY SPECIAL RESOLUTION DATED 8 MAY 2026)</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INTERPRETATION</w:t>
      </w:r>
    </w:p>
    <w:p>
      <w:pPr>
        <w:spacing w:after="0" w:line="212" w:lineRule="exact"/>
        <w:rPr>
          <w:sz w:val="20"/>
          <w:szCs w:val="20"/>
          <w:color w:val="auto"/>
        </w:rPr>
      </w:pPr>
    </w:p>
    <w:p>
      <w:pPr>
        <w:ind w:left="1080" w:right="459" w:hanging="639"/>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these Articles, the following defined terms will have the meanings ascribed to them, if not inconsistent with the subject or context:</w:t>
      </w:r>
    </w:p>
    <w:p>
      <w:pPr>
        <w:spacing w:after="0" w:line="153" w:lineRule="exact"/>
        <w:rPr>
          <w:rFonts w:ascii="Arial" w:cs="Arial" w:eastAsia="Arial" w:hAnsi="Arial"/>
          <w:sz w:val="18"/>
          <w:szCs w:val="18"/>
          <w:color w:val="auto"/>
        </w:rPr>
      </w:pPr>
    </w:p>
    <w:p>
      <w:pPr>
        <w:jc w:val="both"/>
        <w:ind w:left="1080" w:right="459"/>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all provisions of laws, statutes, ordinances, rules, regulations, permits, certificates, judgments, decisions, decrees or orders of any governmental authority applicable to such person.</w:t>
      </w:r>
    </w:p>
    <w:p>
      <w:pPr>
        <w:spacing w:after="0" w:line="168" w:lineRule="exact"/>
        <w:rPr>
          <w:rFonts w:ascii="Arial" w:cs="Arial" w:eastAsia="Arial" w:hAnsi="Arial"/>
          <w:sz w:val="18"/>
          <w:szCs w:val="18"/>
          <w:color w:val="auto"/>
        </w:rPr>
      </w:pPr>
    </w:p>
    <w:p>
      <w:pPr>
        <w:ind w:left="1080" w:right="459"/>
        <w:spacing w:after="0" w:line="28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in their present form or as from time to time altered and "</w:t>
      </w:r>
      <w:r>
        <w:rPr>
          <w:rFonts w:ascii="Arial" w:cs="Arial" w:eastAsia="Arial" w:hAnsi="Arial"/>
          <w:sz w:val="18"/>
          <w:szCs w:val="18"/>
          <w:b w:val="1"/>
          <w:bCs w:val="1"/>
          <w:color w:val="auto"/>
        </w:rPr>
        <w:t>Article</w:t>
      </w:r>
      <w:r>
        <w:rPr>
          <w:rFonts w:ascii="Arial" w:cs="Arial" w:eastAsia="Arial" w:hAnsi="Arial"/>
          <w:sz w:val="18"/>
          <w:szCs w:val="18"/>
          <w:color w:val="auto"/>
        </w:rPr>
        <w:t>" shall refer to an article of these Articles.</w:t>
      </w:r>
    </w:p>
    <w:p>
      <w:pPr>
        <w:spacing w:after="0" w:line="136"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auditors (if any) of the Company appointed pursuant to these Articles.</w:t>
      </w:r>
    </w:p>
    <w:p>
      <w:pPr>
        <w:spacing w:after="0" w:line="211" w:lineRule="exact"/>
        <w:rPr>
          <w:rFonts w:ascii="Arial" w:cs="Arial" w:eastAsia="Arial" w:hAnsi="Arial"/>
          <w:sz w:val="18"/>
          <w:szCs w:val="18"/>
          <w:color w:val="auto"/>
        </w:rPr>
      </w:pPr>
    </w:p>
    <w:p>
      <w:pPr>
        <w:jc w:val="both"/>
        <w:ind w:left="1080" w:right="459"/>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w:t>
      </w:r>
      <w:r>
        <w:rPr>
          <w:rFonts w:ascii="Arial" w:cs="Arial" w:eastAsia="Arial" w:hAnsi="Arial"/>
          <w:sz w:val="18"/>
          <w:szCs w:val="18"/>
          <w:color w:val="auto"/>
        </w:rPr>
        <w:t>" shall include: (a) anything falling within the definition of "bankrupt" for the purposes of the Interpretation (Jersey) Law 1954 (as amended); and (b) any analogous procedure in any jurisdiction other than Jersey.</w:t>
      </w:r>
    </w:p>
    <w:p>
      <w:pPr>
        <w:spacing w:after="0" w:line="168" w:lineRule="exact"/>
        <w:rPr>
          <w:rFonts w:ascii="Arial" w:cs="Arial" w:eastAsia="Arial" w:hAnsi="Arial"/>
          <w:sz w:val="18"/>
          <w:szCs w:val="18"/>
          <w:color w:val="auto"/>
        </w:rPr>
      </w:pPr>
    </w:p>
    <w:p>
      <w:pPr>
        <w:jc w:val="both"/>
        <w:ind w:left="1080" w:right="459"/>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served or deemed to be served and the day for which it is given or on which it is to take effect.</w:t>
      </w:r>
    </w:p>
    <w:p>
      <w:pPr>
        <w:spacing w:after="0" w:line="168" w:lineRule="exact"/>
        <w:rPr>
          <w:rFonts w:ascii="Arial" w:cs="Arial" w:eastAsia="Arial" w:hAnsi="Arial"/>
          <w:sz w:val="18"/>
          <w:szCs w:val="18"/>
          <w:color w:val="auto"/>
        </w:rPr>
      </w:pPr>
    </w:p>
    <w:p>
      <w:pPr>
        <w:ind w:left="1080" w:right="459"/>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Stock Exchange</w:t>
      </w:r>
      <w:r>
        <w:rPr>
          <w:rFonts w:ascii="Arial" w:cs="Arial" w:eastAsia="Arial" w:hAnsi="Arial"/>
          <w:sz w:val="18"/>
          <w:szCs w:val="18"/>
          <w:color w:val="auto"/>
        </w:rPr>
        <w:t>” means any United States national securities exchange on which the securities of the Company are listed for trading.</w:t>
      </w:r>
    </w:p>
    <w:p>
      <w:pPr>
        <w:spacing w:after="0" w:line="15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or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directors of the Company for the time being.</w:t>
      </w:r>
    </w:p>
    <w:p>
      <w:pPr>
        <w:spacing w:after="0" w:line="211" w:lineRule="exact"/>
        <w:rPr>
          <w:rFonts w:ascii="Arial" w:cs="Arial" w:eastAsia="Arial" w:hAnsi="Arial"/>
          <w:sz w:val="18"/>
          <w:szCs w:val="18"/>
          <w:color w:val="auto"/>
        </w:rPr>
      </w:pPr>
    </w:p>
    <w:p>
      <w:pPr>
        <w:jc w:val="both"/>
        <w:ind w:left="1080" w:right="459"/>
        <w:spacing w:after="0" w:line="25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Director considered as an “independent director” within the meaning of the rules of the Designated Stock Exchange on which the Ordinary Shares are listed.</w:t>
      </w:r>
    </w:p>
    <w:p>
      <w:pPr>
        <w:spacing w:after="0" w:line="16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Jersey</w:t>
      </w:r>
      <w:r>
        <w:rPr>
          <w:rFonts w:ascii="Arial" w:cs="Arial" w:eastAsia="Arial" w:hAnsi="Arial"/>
          <w:sz w:val="18"/>
          <w:szCs w:val="18"/>
          <w:color w:val="auto"/>
        </w:rPr>
        <w:t>" means the Island of Jersey and its dependencies.</w:t>
      </w:r>
    </w:p>
    <w:p>
      <w:pPr>
        <w:spacing w:after="0" w:line="21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the Companies (Jersey) Law 1991 (as amended).</w:t>
      </w:r>
    </w:p>
    <w:p>
      <w:pPr>
        <w:spacing w:after="0" w:line="211" w:lineRule="exact"/>
        <w:rPr>
          <w:rFonts w:ascii="Arial" w:cs="Arial" w:eastAsia="Arial" w:hAnsi="Arial"/>
          <w:sz w:val="18"/>
          <w:szCs w:val="18"/>
          <w:color w:val="auto"/>
        </w:rPr>
      </w:pPr>
    </w:p>
    <w:p>
      <w:pPr>
        <w:ind w:left="1080" w:right="459"/>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person whose name is entered in the Register as the holder of shares in the Company.</w:t>
      </w:r>
    </w:p>
    <w:p>
      <w:pPr>
        <w:spacing w:after="0" w:line="153" w:lineRule="exact"/>
        <w:rPr>
          <w:rFonts w:ascii="Arial" w:cs="Arial" w:eastAsia="Arial" w:hAnsi="Arial"/>
          <w:sz w:val="18"/>
          <w:szCs w:val="18"/>
          <w:color w:val="auto"/>
        </w:rPr>
      </w:pPr>
    </w:p>
    <w:p>
      <w:pPr>
        <w:ind w:left="1080" w:right="459"/>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 of Association</w:t>
      </w:r>
      <w:r>
        <w:rPr>
          <w:rFonts w:ascii="Arial" w:cs="Arial" w:eastAsia="Arial" w:hAnsi="Arial"/>
          <w:sz w:val="18"/>
          <w:szCs w:val="18"/>
          <w:color w:val="auto"/>
        </w:rPr>
        <w:t>" means the memorandum of association of the Company in its present form or as from time to time altered.</w:t>
      </w:r>
    </w:p>
    <w:p>
      <w:pPr>
        <w:spacing w:after="0" w:line="15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21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means a written notice unless otherwise specifically stated.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2" w:name="page23"/>
    <w:bookmarkEnd w:id="22"/>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w:t>
      </w:r>
    </w:p>
    <w:p>
      <w:pPr>
        <w:spacing w:after="0" w:line="212" w:lineRule="exact"/>
        <w:rPr>
          <w:sz w:val="20"/>
          <w:szCs w:val="20"/>
          <w:color w:val="auto"/>
        </w:rPr>
      </w:pPr>
    </w:p>
    <w:p>
      <w:pPr>
        <w:jc w:val="both"/>
        <w:ind w:left="108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 means a resolution passed by a simple majority of such Members as, being entitled to do so, vote in person or, where proxies are allowed, by proxy at a general meeting of the Company and where a poll is taken regard shall be had in computing a majority to the number of shares to which each Member is entitled;</w:t>
      </w:r>
    </w:p>
    <w:p>
      <w:pPr>
        <w:spacing w:after="0" w:line="174" w:lineRule="exact"/>
        <w:rPr>
          <w:sz w:val="20"/>
          <w:szCs w:val="20"/>
          <w:color w:val="auto"/>
        </w:rPr>
      </w:pPr>
    </w:p>
    <w:p>
      <w:pPr>
        <w:jc w:val="both"/>
        <w:ind w:left="108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w:t>
      </w:r>
      <w:r>
        <w:rPr>
          <w:rFonts w:ascii="Arial" w:cs="Arial" w:eastAsia="Arial" w:hAnsi="Arial"/>
          <w:sz w:val="18"/>
          <w:szCs w:val="18"/>
          <w:color w:val="auto"/>
        </w:rPr>
        <w:t>" means a par value ordinary share of the Company designated as such and having the rights and being subject to the restrictions specified in these Articles.</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up</w:t>
      </w:r>
      <w:r>
        <w:rPr>
          <w:rFonts w:ascii="Arial" w:cs="Arial" w:eastAsia="Arial" w:hAnsi="Arial"/>
          <w:sz w:val="18"/>
          <w:szCs w:val="18"/>
          <w:color w:val="auto"/>
        </w:rPr>
        <w:t>" shall include credited as paid up.</w:t>
      </w:r>
    </w:p>
    <w:p>
      <w:pPr>
        <w:spacing w:after="0" w:line="212" w:lineRule="exact"/>
        <w:rPr>
          <w:sz w:val="20"/>
          <w:szCs w:val="20"/>
          <w:color w:val="auto"/>
        </w:rPr>
      </w:pPr>
    </w:p>
    <w:p>
      <w:pPr>
        <w:jc w:val="both"/>
        <w:ind w:left="1080" w:right="459"/>
        <w:spacing w:after="0" w:line="253" w:lineRule="auto"/>
        <w:rPr>
          <w:sz w:val="20"/>
          <w:szCs w:val="20"/>
          <w:color w:val="auto"/>
        </w:rPr>
      </w:pPr>
      <w:r>
        <w:rPr>
          <w:rFonts w:ascii="Arial" w:cs="Arial" w:eastAsia="Arial" w:hAnsi="Arial"/>
          <w:sz w:val="18"/>
          <w:szCs w:val="18"/>
          <w:b w:val="1"/>
          <w:bCs w:val="1"/>
          <w:color w:val="auto"/>
        </w:rPr>
        <w:t xml:space="preserve">"Preferred Shares" </w:t>
      </w:r>
      <w:r>
        <w:rPr>
          <w:rFonts w:ascii="Arial" w:cs="Arial" w:eastAsia="Arial" w:hAnsi="Arial"/>
          <w:sz w:val="18"/>
          <w:szCs w:val="18"/>
          <w:color w:val="auto"/>
        </w:rPr>
        <w:t>means any shares in the capital of the Company issued with preference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Ordinary Shares or other special rights pursuant to Article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and in any Statement of Rights.</w:t>
      </w:r>
    </w:p>
    <w:p>
      <w:pPr>
        <w:spacing w:after="0" w:line="169" w:lineRule="exact"/>
        <w:rPr>
          <w:sz w:val="20"/>
          <w:szCs w:val="20"/>
          <w:color w:val="auto"/>
        </w:rPr>
      </w:pPr>
    </w:p>
    <w:p>
      <w:pPr>
        <w:jc w:val="both"/>
        <w:ind w:left="108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present in person</w:t>
      </w:r>
      <w:r>
        <w:rPr>
          <w:rFonts w:ascii="Arial" w:cs="Arial" w:eastAsia="Arial" w:hAnsi="Arial"/>
          <w:sz w:val="18"/>
          <w:szCs w:val="18"/>
          <w:color w:val="auto"/>
        </w:rPr>
        <w:t>" shall include, in relation to general meetings of the Company and to meetings of the holders of any class of shares, being present by attorney or by proxy or, in the case of a corporate shareholder, by representative.</w:t>
      </w:r>
    </w:p>
    <w:p>
      <w:pPr>
        <w:spacing w:after="0" w:line="169" w:lineRule="exact"/>
        <w:rPr>
          <w:sz w:val="20"/>
          <w:szCs w:val="20"/>
          <w:color w:val="auto"/>
        </w:rPr>
      </w:pPr>
    </w:p>
    <w:p>
      <w:pPr>
        <w:jc w:val="both"/>
        <w:ind w:left="1080" w:right="45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Redeemable Deferred Share</w:t>
      </w:r>
      <w:r>
        <w:rPr>
          <w:rFonts w:ascii="Arial" w:cs="Arial" w:eastAsia="Arial" w:hAnsi="Arial"/>
          <w:sz w:val="18"/>
          <w:szCs w:val="18"/>
          <w:color w:val="auto"/>
        </w:rPr>
        <w:t>" means a par value redeemable deferred share of the Company designated as such and having the rights and being subject to the restrictions specified in these Articles.</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means the register of Members to be kept pursuant to Article </w:t>
      </w:r>
      <w:r>
        <w:rPr>
          <w:rFonts w:ascii="Arial" w:cs="Arial" w:eastAsia="Arial" w:hAnsi="Arial"/>
          <w:sz w:val="18"/>
          <w:szCs w:val="18"/>
          <w:u w:val="single" w:color="auto"/>
          <w:color w:val="auto"/>
        </w:rPr>
        <w:t>39</w:t>
      </w:r>
      <w:r>
        <w:rPr>
          <w:rFonts w:ascii="Arial" w:cs="Arial" w:eastAsia="Arial" w:hAnsi="Arial"/>
          <w:sz w:val="18"/>
          <w:szCs w:val="18"/>
          <w:color w:val="auto"/>
        </w:rPr>
        <w:t>.</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12" w:lineRule="exact"/>
        <w:rPr>
          <w:sz w:val="20"/>
          <w:szCs w:val="20"/>
          <w:color w:val="auto"/>
        </w:rPr>
      </w:pPr>
    </w:p>
    <w:p>
      <w:pPr>
        <w:jc w:val="both"/>
        <w:ind w:left="108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any person appointed by the Directors to perform any of the duties of secretary of the Company (including a temporary or assistant secretary), and in the event of two or more persons being appointed as joint secretaries any one or more of the persons so appointed.</w:t>
      </w:r>
    </w:p>
    <w:p>
      <w:pPr>
        <w:spacing w:after="0" w:line="174" w:lineRule="exact"/>
        <w:rPr>
          <w:sz w:val="20"/>
          <w:szCs w:val="20"/>
          <w:color w:val="auto"/>
        </w:rPr>
      </w:pPr>
    </w:p>
    <w:p>
      <w:pPr>
        <w:jc w:val="both"/>
        <w:ind w:left="108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in the capital of the Company including any Ordinary Share, Redeemable Deferred Share or Preferred Share.</w:t>
      </w:r>
    </w:p>
    <w:p>
      <w:pPr>
        <w:spacing w:after="0" w:line="154" w:lineRule="exact"/>
        <w:rPr>
          <w:sz w:val="20"/>
          <w:szCs w:val="20"/>
          <w:color w:val="auto"/>
        </w:rPr>
      </w:pPr>
    </w:p>
    <w:p>
      <w:pPr>
        <w:jc w:val="both"/>
        <w:ind w:left="108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means a resolution passed by a majority of two-thirds of such Members as, being entitled to do so, vote in person or, where proxies are allowed, by proxy at a general meeting of the Company and where a poll is taken regard shall be had in computing the relevant majority to the number of shares to which each Member is entitled.</w:t>
      </w:r>
    </w:p>
    <w:p>
      <w:pPr>
        <w:spacing w:after="0" w:line="174" w:lineRule="exact"/>
        <w:rPr>
          <w:sz w:val="20"/>
          <w:szCs w:val="20"/>
          <w:color w:val="auto"/>
        </w:rPr>
      </w:pPr>
    </w:p>
    <w:p>
      <w:pPr>
        <w:jc w:val="both"/>
        <w:ind w:left="108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of Rights</w:t>
      </w:r>
      <w:r>
        <w:rPr>
          <w:rFonts w:ascii="Arial" w:cs="Arial" w:eastAsia="Arial" w:hAnsi="Arial"/>
          <w:sz w:val="18"/>
          <w:szCs w:val="18"/>
          <w:color w:val="auto"/>
        </w:rPr>
        <w:t>” in relation to each class or series of Preferred Share, a memorandum approved by the Directors setting out the specific rights and obligations attaching to the Preferred Shares of such class or series which are in addition to those rights and obligations contained in and determined in accordance with these Articles; and</w:t>
      </w:r>
    </w:p>
    <w:p>
      <w:pPr>
        <w:spacing w:after="0" w:line="174" w:lineRule="exact"/>
        <w:rPr>
          <w:sz w:val="20"/>
          <w:szCs w:val="20"/>
          <w:color w:val="auto"/>
        </w:rPr>
      </w:pPr>
    </w:p>
    <w:p>
      <w:pPr>
        <w:jc w:val="both"/>
        <w:ind w:left="108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Instruments</w:t>
      </w:r>
      <w:r>
        <w:rPr>
          <w:rFonts w:ascii="Arial" w:cs="Arial" w:eastAsia="Arial" w:hAnsi="Arial"/>
          <w:sz w:val="18"/>
          <w:szCs w:val="18"/>
          <w:color w:val="auto"/>
        </w:rPr>
        <w:t>" means any document or instrument in writing and includes contracts, agreements, deeds, mortgages, hypothecs, charges, conveyances, transfers, assignments, releases, receipts, discharges, all paper writings, all cheques, drafts or orders for the payment of money and all notes, acceptances and bills of exchange.</w:t>
      </w:r>
    </w:p>
    <w:p>
      <w:pPr>
        <w:spacing w:after="0" w:line="174" w:lineRule="exact"/>
        <w:rPr>
          <w:sz w:val="20"/>
          <w:szCs w:val="20"/>
          <w:color w:val="auto"/>
        </w:rPr>
      </w:pPr>
    </w:p>
    <w:p>
      <w:pPr>
        <w:ind w:left="1080" w:hanging="639"/>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these Articles, save where the context requires otherwise:</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may</w:t>
      </w:r>
      <w:r>
        <w:rPr>
          <w:rFonts w:ascii="Arial" w:cs="Arial" w:eastAsia="Arial" w:hAnsi="Arial"/>
          <w:sz w:val="18"/>
          <w:szCs w:val="18"/>
          <w:color w:val="auto"/>
        </w:rPr>
        <w:t>" shall be construed as permissive and the word "</w:t>
      </w:r>
      <w:r>
        <w:rPr>
          <w:rFonts w:ascii="Arial" w:cs="Arial" w:eastAsia="Arial" w:hAnsi="Arial"/>
          <w:sz w:val="18"/>
          <w:szCs w:val="18"/>
          <w:b w:val="1"/>
          <w:bCs w:val="1"/>
          <w:color w:val="auto"/>
        </w:rPr>
        <w:t>shall</w:t>
      </w:r>
      <w:r>
        <w:rPr>
          <w:rFonts w:ascii="Arial" w:cs="Arial" w:eastAsia="Arial" w:hAnsi="Arial"/>
          <w:sz w:val="18"/>
          <w:szCs w:val="18"/>
          <w:color w:val="auto"/>
        </w:rPr>
        <w:t>" shall be construed as imperative;</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signed</w:t>
      </w:r>
      <w:r>
        <w:rPr>
          <w:rFonts w:ascii="Arial" w:cs="Arial" w:eastAsia="Arial" w:hAnsi="Arial"/>
          <w:sz w:val="18"/>
          <w:szCs w:val="18"/>
          <w:color w:val="auto"/>
        </w:rPr>
        <w:t>" shall be construed as including a signature or representation of a signature affixed by mechanical or other means;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p>
      <w:pPr>
        <w:spacing w:after="0" w:line="193" w:lineRule="exact"/>
        <w:rPr>
          <w:sz w:val="20"/>
          <w:szCs w:val="20"/>
          <w:color w:val="auto"/>
        </w:rPr>
      </w:pPr>
    </w:p>
    <w:p>
      <w:pPr>
        <w:jc w:val="both"/>
        <w:ind w:left="1740" w:right="459" w:hanging="651"/>
        <w:spacing w:after="0" w:line="253"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words "</w:t>
      </w:r>
      <w:r>
        <w:rPr>
          <w:rFonts w:ascii="Arial" w:cs="Arial" w:eastAsia="Arial" w:hAnsi="Arial"/>
          <w:sz w:val="18"/>
          <w:szCs w:val="18"/>
          <w:b w:val="1"/>
          <w:bCs w:val="1"/>
          <w:color w:val="auto"/>
        </w:rPr>
        <w:t>in writing</w:t>
      </w:r>
      <w:r>
        <w:rPr>
          <w:rFonts w:ascii="Arial" w:cs="Arial" w:eastAsia="Arial" w:hAnsi="Arial"/>
          <w:sz w:val="18"/>
          <w:szCs w:val="18"/>
          <w:color w:val="auto"/>
        </w:rPr>
        <w:t>" shall be construed as including written, printed, telexed, electronically transmitted or any other mode of representing or reproducing words in a visible form;</w:t>
      </w:r>
    </w:p>
    <w:p>
      <w:pPr>
        <w:spacing w:after="0" w:line="16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words importing "</w:t>
      </w:r>
      <w:r>
        <w:rPr>
          <w:rFonts w:ascii="Arial" w:cs="Arial" w:eastAsia="Arial" w:hAnsi="Arial"/>
          <w:sz w:val="18"/>
          <w:szCs w:val="18"/>
          <w:b w:val="1"/>
          <w:bCs w:val="1"/>
          <w:color w:val="auto"/>
        </w:rPr>
        <w:t>persons</w:t>
      </w:r>
      <w:r>
        <w:rPr>
          <w:rFonts w:ascii="Arial" w:cs="Arial" w:eastAsia="Arial" w:hAnsi="Arial"/>
          <w:sz w:val="18"/>
          <w:szCs w:val="18"/>
          <w:color w:val="auto"/>
        </w:rPr>
        <w:t>" shall be construed as including companies or associations or bodies of persons whether incorporated or unincorporated;</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words importing the singular number shall be construed as including the plural number and vice versa;</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words importing one gender only shall be construed as including any other gender;</w:t>
      </w:r>
    </w:p>
    <w:p>
      <w:pPr>
        <w:spacing w:after="0" w:line="211" w:lineRule="exact"/>
        <w:rPr>
          <w:rFonts w:ascii="Arial" w:cs="Arial" w:eastAsia="Arial" w:hAnsi="Arial"/>
          <w:sz w:val="18"/>
          <w:szCs w:val="18"/>
          <w:color w:val="auto"/>
        </w:rPr>
      </w:pPr>
    </w:p>
    <w:p>
      <w:pPr>
        <w:jc w:val="both"/>
        <w:ind w:left="1740" w:right="459" w:hanging="651"/>
        <w:spacing w:after="0" w:line="301" w:lineRule="auto"/>
        <w:tabs>
          <w:tab w:leader="none" w:pos="1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reference to the Company being a private company or a public company is a reference to such status as determined for the time being in accordance with the Law;</w:t>
      </w:r>
    </w:p>
    <w:p>
      <w:pPr>
        <w:spacing w:after="0" w:line="130" w:lineRule="exact"/>
        <w:rPr>
          <w:rFonts w:ascii="Arial" w:cs="Arial" w:eastAsia="Arial" w:hAnsi="Arial"/>
          <w:sz w:val="17"/>
          <w:szCs w:val="17"/>
          <w:color w:val="auto"/>
        </w:rPr>
      </w:pPr>
    </w:p>
    <w:p>
      <w:pPr>
        <w:ind w:left="1740" w:hanging="651"/>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word "</w:t>
      </w:r>
      <w:r>
        <w:rPr>
          <w:rFonts w:ascii="Arial" w:cs="Arial" w:eastAsia="Arial" w:hAnsi="Arial"/>
          <w:sz w:val="18"/>
          <w:szCs w:val="18"/>
          <w:b w:val="1"/>
          <w:bCs w:val="1"/>
          <w:color w:val="auto"/>
        </w:rPr>
        <w:t>includes</w:t>
      </w:r>
      <w:r>
        <w:rPr>
          <w:rFonts w:ascii="Arial" w:cs="Arial" w:eastAsia="Arial" w:hAnsi="Arial"/>
          <w:sz w:val="18"/>
          <w:szCs w:val="18"/>
          <w:color w:val="auto"/>
        </w:rPr>
        <w:t>" shall mean "</w:t>
      </w:r>
      <w:r>
        <w:rPr>
          <w:rFonts w:ascii="Arial" w:cs="Arial" w:eastAsia="Arial" w:hAnsi="Arial"/>
          <w:sz w:val="18"/>
          <w:szCs w:val="18"/>
          <w:b w:val="1"/>
          <w:bCs w:val="1"/>
          <w:color w:val="auto"/>
        </w:rPr>
        <w:t>includes without limitation</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reference to a dollar or dollars or USD (or $) and to a cent or cents is reference to dollars and cents of the United States of America;</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any expression is defined or the interpretation of it is set out herein, other parts of speech of such expression shall have a corresponding meaning;</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references to enactments are to such enactments as are from time to time modified, re-enacted or consolidated and shall include any enactment made in substitution for an enactment that is repealed; and</w:t>
      </w:r>
    </w:p>
    <w:p>
      <w:pPr>
        <w:spacing w:after="0" w:line="16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terms used in Article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and not defined in Article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shall have the meaning given to the applicable term in Schedule I.</w:t>
      </w:r>
    </w:p>
    <w:p>
      <w:pPr>
        <w:spacing w:after="0" w:line="154" w:lineRule="exact"/>
        <w:rPr>
          <w:sz w:val="20"/>
          <w:szCs w:val="20"/>
          <w:color w:val="auto"/>
        </w:rPr>
      </w:pPr>
    </w:p>
    <w:p>
      <w:pPr>
        <w:ind w:left="1080" w:right="459" w:hanging="639"/>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headings herein are for convenience only and shall not affect the construction of these Articles.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preliminary expenses incurred in forming the Company may be discharged out of the funds of the Company. The business of the Company shall be commenced as soon after the incorporation of the Company as the Directors think fit.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CAPITAL</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 capital of the Company is as specified in the Memorandum of Association and the shares of the Company shall have the rights and be subject to the conditions contained in these Articles.</w:t>
      </w:r>
    </w:p>
    <w:p>
      <w:pPr>
        <w:spacing w:after="0" w:line="16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unissued shares for the time being in the capital of the Company shall be at the disposal of the Directors, and they may (subject to the other provisions of the Articles and, where applicable, the rules and regulations of the Designated Stock Exchange) allot, grant options over, or otherwise dispose of them to such persons at such times and on such terms as they think proper.</w:t>
      </w:r>
    </w:p>
    <w:p>
      <w:pPr>
        <w:spacing w:after="0" w:line="176"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Directors may issue shares in the Company to any person and without any obligation to offer such shares to the Members (whether in proportion to the existing shares held by them or otherwise).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spacing w:after="0" w:line="193" w:lineRule="exact"/>
        <w:rPr>
          <w:sz w:val="20"/>
          <w:szCs w:val="20"/>
          <w:color w:val="auto"/>
        </w:rPr>
      </w:pPr>
    </w:p>
    <w:p>
      <w:pPr>
        <w:jc w:val="both"/>
        <w:ind w:left="1080" w:right="459" w:hanging="639"/>
        <w:spacing w:after="0" w:line="24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may at the discretion of the Board of Directors, but shall not otherwise be obliged to, issue fractions of shares or round up or round down fractional holdings of shares to its nearest whole number, in each case in accordance with and subject to the provisions of the Law, PROVIDED THAT:</w:t>
      </w:r>
    </w:p>
    <w:p>
      <w:pPr>
        <w:spacing w:after="0" w:line="17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fraction of a share shall be taken into account in determining the entitlement of a Member as regards dividends or on a winding up; and</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fraction of a share shall not entitle a Member to a vote in respect thereof.</w:t>
      </w:r>
    </w:p>
    <w:p>
      <w:pPr>
        <w:spacing w:after="0" w:line="211"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provisions of the Law, the Company may purchase its own shares of any class and in relation thereto, neither the Company nor the Directors shall be required to select the shares to be purchased rateably or in any other particular manner as between the holders of shares of the same class or as between them and the holders of shares of any other class or in accordance with the rights as to dividends or capital conferred by any class of shares.</w:t>
      </w:r>
    </w:p>
    <w:p>
      <w:pPr>
        <w:spacing w:after="0" w:line="176"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Law, the Directors may accept the surrender of shares of any class (including Redeemable Deferred Shares) for no consideration of any fully paid share.</w:t>
      </w:r>
    </w:p>
    <w:p>
      <w:pPr>
        <w:spacing w:after="0" w:line="15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Law, the Company may hold as treasury shares any share purchased or redeemed by it or any shares surrendered to it.</w:t>
      </w:r>
    </w:p>
    <w:p>
      <w:pPr>
        <w:spacing w:after="0" w:line="15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53" w:lineRule="exact"/>
        <w:rPr>
          <w:rFonts w:ascii="Arial" w:cs="Arial" w:eastAsia="Arial" w:hAnsi="Arial"/>
          <w:sz w:val="18"/>
          <w:szCs w:val="18"/>
          <w:color w:val="auto"/>
        </w:rPr>
      </w:pPr>
    </w:p>
    <w:p>
      <w:pPr>
        <w:ind w:left="1080" w:hanging="639"/>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Law:</w:t>
      </w:r>
    </w:p>
    <w:p>
      <w:pPr>
        <w:spacing w:after="0" w:line="211"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that neither (i) the AIR Early Release Event nor (ii) the First Release Event has occurred during the Earnout Period, all of the AIR Earnout Shares shall automatically be redesignated as Redeemable Deferred Shares and redeemed at nil value in accordance with these Articles;</w:t>
      </w:r>
    </w:p>
    <w:p>
      <w:pPr>
        <w:spacing w:after="0" w:line="17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that neither (i) the Sponsor Early Release Event nor (ii) the First Release Event has occurred during the Earnout Period, 750,000 Sponsor Earnout Shares shall automatically be redesignated as Redeemable Deferred Shares and redeemed at nil value in accordance with these Articles;</w:t>
      </w:r>
    </w:p>
    <w:p>
      <w:pPr>
        <w:spacing w:after="0" w:line="17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that neither (i) the Sponsor Early Release Event nor (ii) the Sponsor Second Release Event has occurred during the Earnout Period, 750,000 of the Sponsor Earnout Shares shall automatically be redesignated as Redeemable Deferred Shares and redeemed at nil value in accordance with these Articles; and</w:t>
      </w:r>
    </w:p>
    <w:p>
      <w:pPr>
        <w:spacing w:after="0" w:line="173" w:lineRule="exact"/>
        <w:rPr>
          <w:rFonts w:ascii="Arial" w:cs="Arial" w:eastAsia="Arial" w:hAnsi="Arial"/>
          <w:sz w:val="18"/>
          <w:szCs w:val="18"/>
          <w:color w:val="auto"/>
        </w:rPr>
      </w:pPr>
    </w:p>
    <w:p>
      <w:pPr>
        <w:jc w:val="both"/>
        <w:ind w:left="1740" w:right="459" w:hanging="651"/>
        <w:spacing w:after="0" w:line="244"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Ordinary Shares which were issued and outstanding immediately prior to initial listing or admission to trading of the Shares on the Designated Stock Exchange shall automatically be redesignated as Redeemable Deferred Shares and redeemed at nil value in accordance with these Articles as at the date when the Shares are first admitted to trading or listing on the Designated Stock Exchange.</w:t>
      </w:r>
    </w:p>
    <w:p>
      <w:pPr>
        <w:spacing w:after="0" w:line="176"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may pay commissions. Any such commission may be satisfied either by the payment of cash or by the allotment of fully or partly paid shares or partly in one way and partly in the other.</w:t>
      </w:r>
    </w:p>
    <w:p>
      <w:pPr>
        <w:spacing w:after="0" w:line="168"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 as required or permitted by law, no person shall be recognised by the Company as holding any share upon any trust, and the Company shall not be bound by or recognise any equitable, contingent, future or partial interest in any share, or (except only as otherwise provided by these Articles or permitted by law) any interest in any fraction of a share, or any other right in respect of any share, except an absolute right to the entirety thereof in the registered holder.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193" w:lineRule="exact"/>
        <w:rPr>
          <w:sz w:val="20"/>
          <w:szCs w:val="20"/>
          <w:color w:val="auto"/>
        </w:rPr>
      </w:pPr>
    </w:p>
    <w:p>
      <w:pPr>
        <w:jc w:val="both"/>
        <w:ind w:left="1080" w:right="459" w:hanging="639"/>
        <w:spacing w:after="0" w:line="24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may by Special Resolution convert any existing non-redeemable limited shares (whether issued or not) into limited shares that are to be redeemed or are liable to be redeemed in accordance with their terms which may include provision for redemption at the option of either or both of the Company or the holder thereof.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12" w:lineRule="exact"/>
        <w:rPr>
          <w:sz w:val="20"/>
          <w:szCs w:val="20"/>
          <w:color w:val="auto"/>
        </w:rPr>
      </w:pPr>
    </w:p>
    <w:p>
      <w:pPr>
        <w:ind w:left="1080" w:right="459" w:hanging="639"/>
        <w:spacing w:after="0" w:line="271"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Ordinary Share in the Company confers upon the Member (unless waived by such Member):</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right to one vote at a general meeting of the Members of the Company;</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right to an equal share with each other Ordinary Share in any dividend paid by the Company; and</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subject to satisfaction of and compliance with Articles </w:t>
      </w:r>
      <w:r>
        <w:rPr>
          <w:rFonts w:ascii="Arial" w:cs="Arial" w:eastAsia="Arial" w:hAnsi="Arial"/>
          <w:sz w:val="18"/>
          <w:szCs w:val="18"/>
          <w:u w:val="single" w:color="auto"/>
          <w:color w:val="auto"/>
        </w:rPr>
        <w:t>185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186</w:t>
      </w:r>
      <w:r>
        <w:rPr>
          <w:rFonts w:ascii="Arial" w:cs="Arial" w:eastAsia="Arial" w:hAnsi="Arial"/>
          <w:sz w:val="18"/>
          <w:szCs w:val="18"/>
          <w:color w:val="auto"/>
        </w:rPr>
        <w:t>, the right to an equal share with each other Ordinary Share in the distribution of the surplus assets of the Company on its liquidation.</w:t>
      </w:r>
    </w:p>
    <w:p>
      <w:pPr>
        <w:spacing w:after="0" w:line="168" w:lineRule="exact"/>
        <w:rPr>
          <w:rFonts w:ascii="Arial" w:cs="Arial" w:eastAsia="Arial" w:hAnsi="Arial"/>
          <w:sz w:val="18"/>
          <w:szCs w:val="18"/>
          <w:color w:val="auto"/>
        </w:rPr>
      </w:pPr>
    </w:p>
    <w:p>
      <w:pPr>
        <w:ind w:left="1080" w:hanging="639"/>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All Ordinary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one another in all respects.</w:t>
      </w:r>
    </w:p>
    <w:p>
      <w:pPr>
        <w:spacing w:after="0" w:line="211" w:lineRule="exact"/>
        <w:rPr>
          <w:rFonts w:ascii="Arial" w:cs="Arial" w:eastAsia="Arial" w:hAnsi="Arial"/>
          <w:sz w:val="18"/>
          <w:szCs w:val="18"/>
          <w:color w:val="auto"/>
        </w:rPr>
      </w:pPr>
    </w:p>
    <w:p>
      <w:pPr>
        <w:ind w:left="1080" w:hanging="639"/>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Ordinary Shares are not redeemable (without prejudice to Article </w:t>
      </w:r>
      <w:r>
        <w:rPr>
          <w:rFonts w:ascii="Arial" w:cs="Arial" w:eastAsia="Arial" w:hAnsi="Arial"/>
          <w:sz w:val="18"/>
          <w:szCs w:val="18"/>
          <w:u w:val="single" w:color="auto"/>
          <w:color w:val="auto"/>
        </w:rPr>
        <w:t>21</w:t>
      </w:r>
      <w:r>
        <w:rPr>
          <w:rFonts w:ascii="Arial" w:cs="Arial" w:eastAsia="Arial" w:hAnsi="Arial"/>
          <w:sz w:val="18"/>
          <w:szCs w:val="18"/>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SHARES</w:t>
      </w:r>
    </w:p>
    <w:p>
      <w:pPr>
        <w:spacing w:after="0" w:line="212" w:lineRule="exact"/>
        <w:rPr>
          <w:sz w:val="20"/>
          <w:szCs w:val="20"/>
          <w:color w:val="auto"/>
        </w:rPr>
      </w:pPr>
    </w:p>
    <w:p>
      <w:pPr>
        <w:jc w:val="both"/>
        <w:ind w:left="1080" w:right="459" w:hanging="639"/>
        <w:spacing w:after="0" w:line="242"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Preferred Shares may be issued from time to time in one or more series, each of such series to have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series adopted by the Directors as hereinafter provided.</w:t>
      </w:r>
    </w:p>
    <w:p>
      <w:pPr>
        <w:spacing w:after="0" w:line="17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Authority is hereby granted to the Directors, subject to the provisions of the Memorandum of Association, these Articles, the Law (including the requirement to file a Statement of Rights) and, where applicable, the rules and regulations of the Designated Stock Exchange, to create one or more series of Preferred Shares and, with respect to each such series, to fix by resolution or resolutions, without any further vote or action by the Members of the Company providing for the issue of such series with the rights to be expressed in the Statement of Rights, which will include:</w:t>
      </w:r>
    </w:p>
    <w:p>
      <w:pPr>
        <w:spacing w:after="0" w:line="184"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number of Preferred Shares to constitute such series and the distinctive designation thereof;</w:t>
      </w:r>
    </w:p>
    <w:p>
      <w:pPr>
        <w:spacing w:after="0" w:line="15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dividend rate on the Preferred Shares of such series, the dividend payment dates, the periods in respect of which dividends are payable (“Dividend Periods”), whether such dividends shall be cumulative and, if cumulative, the date or dates from which dividends shall accumulate;</w:t>
      </w:r>
    </w:p>
    <w:p>
      <w:pPr>
        <w:spacing w:after="0" w:line="173" w:lineRule="exact"/>
        <w:rPr>
          <w:rFonts w:ascii="Arial" w:cs="Arial" w:eastAsia="Arial" w:hAnsi="Arial"/>
          <w:sz w:val="18"/>
          <w:szCs w:val="18"/>
          <w:color w:val="auto"/>
        </w:rPr>
      </w:pPr>
    </w:p>
    <w:p>
      <w:pPr>
        <w:jc w:val="both"/>
        <w:ind w:left="1740" w:right="459" w:hanging="651"/>
        <w:spacing w:after="0" w:line="242"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whether the Preferred Shares of such series shall be convertible into, or exchangeable for, shares of any other class or classes or any other series of the same or any other class or classes of shares and the conversion price or prices or rate or rates, or the rate or rates at which such exchange may be made, with such adjustments, if any, as shall be stated and expressed or provided in such resolution or resolutions;</w:t>
      </w:r>
    </w:p>
    <w:p>
      <w:pPr>
        <w:spacing w:after="0" w:line="17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preferences, if any, and the amounts thereof, which the Preferred Shares of such series shall be entitled to receive upon the winding up of the Company;</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voting power, if any, of the Preferred Shares of such series;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p>
      <w:pPr>
        <w:spacing w:after="0" w:line="193" w:lineRule="exact"/>
        <w:rPr>
          <w:sz w:val="20"/>
          <w:szCs w:val="20"/>
          <w:color w:val="auto"/>
        </w:rPr>
      </w:pPr>
    </w:p>
    <w:p>
      <w:pPr>
        <w:ind w:left="1740" w:hanging="651"/>
        <w:spacing w:after="0"/>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price at which shares of such series shall be issued;</w:t>
      </w:r>
    </w:p>
    <w:p>
      <w:pPr>
        <w:spacing w:after="0" w:line="211" w:lineRule="exact"/>
        <w:rPr>
          <w:rFonts w:ascii="Arial" w:cs="Arial" w:eastAsia="Arial" w:hAnsi="Arial"/>
          <w:sz w:val="18"/>
          <w:szCs w:val="18"/>
          <w:color w:val="auto"/>
        </w:rPr>
      </w:pPr>
    </w:p>
    <w:p>
      <w:pPr>
        <w:jc w:val="both"/>
        <w:ind w:left="1740" w:right="459" w:hanging="651"/>
        <w:spacing w:after="0" w:line="244"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statement as to whether shares of such series are redeemable (either at the option of the Member and/or the Company) and, if so, on what terms such shares are redeemable (including, without limitation, and only if so determined by the Directors, the amount for which such shares shall be redeemed (or a method or formula for determining the same) and the date on which they shall be redeemed);</w:t>
      </w:r>
    </w:p>
    <w:p>
      <w:pPr>
        <w:spacing w:after="0" w:line="176"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transfer restrictions and rights of first refusal with respect to the Preferred Shares of such series; and</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such other terms, conditions, special rights and provisions as may seem advisable to the Directors.</w:t>
      </w:r>
    </w:p>
    <w:p>
      <w:pPr>
        <w:spacing w:after="0" w:line="15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Notwithstanding the fixing of the number of Preferred Shares constituting a particular series upon the issuance thereof, the Directors at any time thereafter may authorise the issuance of additional Preferred Shares of the same series subject always to the Law and the Memorandum of Association.</w:t>
      </w:r>
    </w:p>
    <w:p>
      <w:pPr>
        <w:spacing w:after="0" w:line="173" w:lineRule="exact"/>
        <w:rPr>
          <w:rFonts w:ascii="Arial" w:cs="Arial" w:eastAsia="Arial" w:hAnsi="Arial"/>
          <w:sz w:val="18"/>
          <w:szCs w:val="18"/>
          <w:color w:val="auto"/>
        </w:rPr>
      </w:pPr>
    </w:p>
    <w:p>
      <w:pPr>
        <w:jc w:val="both"/>
        <w:ind w:left="1080" w:right="459"/>
        <w:spacing w:after="0"/>
        <w:rPr>
          <w:rFonts w:ascii="Arial" w:cs="Arial" w:eastAsia="Arial" w:hAnsi="Arial"/>
          <w:sz w:val="18"/>
          <w:szCs w:val="18"/>
          <w:color w:val="auto"/>
        </w:rPr>
      </w:pPr>
      <w:r>
        <w:rPr>
          <w:rFonts w:ascii="Arial" w:cs="Arial" w:eastAsia="Arial" w:hAnsi="Arial"/>
          <w:sz w:val="18"/>
          <w:szCs w:val="18"/>
          <w:color w:val="auto"/>
        </w:rPr>
        <w:t>27A. If, upon the winding up of the Company, the assets of the Company distributable among the holders of any one or more series of Preferred Shares which (a) are entitled to a preference over the holders of the Ordinary Shares upon such winding up and (b)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spacing w:after="0" w:line="18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27B. Once a Statement of Rights has been adopted for a series of Preferred Shares, then:</w:t>
      </w:r>
    </w:p>
    <w:p>
      <w:pPr>
        <w:spacing w:after="0" w:line="211" w:lineRule="exact"/>
        <w:rPr>
          <w:rFonts w:ascii="Arial" w:cs="Arial" w:eastAsia="Arial" w:hAnsi="Arial"/>
          <w:sz w:val="18"/>
          <w:szCs w:val="18"/>
          <w:color w:val="auto"/>
        </w:rPr>
      </w:pPr>
    </w:p>
    <w:p>
      <w:pPr>
        <w:ind w:left="1740" w:hanging="651"/>
        <w:spacing w:after="0"/>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it shall be binding on Members and Directors as if contained in these Articles;</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provisions of Articles 34-35 shall apply to any variation or abrogation thereof that may be effected by the Company;</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Statement of Rights shall be filed on behalf of the Company with the Registrar of Companies in Jersey pursuant to and in accordance with Article 54 of the Law;</w:t>
      </w:r>
    </w:p>
    <w:p>
      <w:pPr>
        <w:spacing w:after="0" w:line="15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moneys payable on or in respect of any Preferred Share which is the subject thereof (including, without limitation, the subscription and any redemption moneys in respect thereof) shall be paid in the currency for which such Preferred Share is issued; and</w:t>
      </w:r>
    </w:p>
    <w:p>
      <w:pPr>
        <w:spacing w:after="0" w:line="17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upon the redemption of a Preferred Share (if it is redeemable) pursuant to the Statement of Rights relating thereto, the holder thereof shall cease to be entitled to any rights in respect thereof and accordingly his name shall be removed from the Register and the share shall thereupon be cancelled.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RIGHTS ATTACHING TO THE REDEEMABLE DEFERRED SHARES</w:t>
      </w:r>
    </w:p>
    <w:p>
      <w:pPr>
        <w:spacing w:after="0" w:line="212" w:lineRule="exact"/>
        <w:rPr>
          <w:sz w:val="20"/>
          <w:szCs w:val="20"/>
          <w:color w:val="auto"/>
        </w:rPr>
      </w:pPr>
    </w:p>
    <w:p>
      <w:pPr>
        <w:ind w:left="1080" w:right="459" w:hanging="639"/>
        <w:spacing w:after="0" w:line="27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Redeemable Deferred Shares shall have the following rights and be subject to the following restrictions: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 w:name="page28"/>
    <w:bookmarkEnd w:id="27"/>
    <w:p>
      <w:pPr>
        <w:spacing w:after="0" w:line="195" w:lineRule="exact"/>
        <w:rPr>
          <w:sz w:val="20"/>
          <w:szCs w:val="20"/>
          <w:color w:val="auto"/>
        </w:rPr>
      </w:pPr>
    </w:p>
    <w:p>
      <w:pPr>
        <w:ind w:left="1080" w:hanging="639"/>
        <w:spacing w:after="0"/>
        <w:tabs>
          <w:tab w:leader="none" w:pos="108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Redemption</w:t>
      </w:r>
    </w:p>
    <w:p>
      <w:pPr>
        <w:spacing w:after="0" w:line="209" w:lineRule="exact"/>
        <w:rPr>
          <w:rFonts w:ascii="Arial" w:cs="Arial" w:eastAsia="Arial" w:hAnsi="Arial"/>
          <w:sz w:val="18"/>
          <w:szCs w:val="18"/>
          <w:i w:val="1"/>
          <w:iCs w:val="1"/>
          <w:color w:val="auto"/>
        </w:rPr>
      </w:pPr>
    </w:p>
    <w:p>
      <w:pPr>
        <w:ind w:left="1080" w:right="459"/>
        <w:spacing w:after="0" w:line="271" w:lineRule="auto"/>
        <w:rPr>
          <w:rFonts w:ascii="Arial" w:cs="Arial" w:eastAsia="Arial" w:hAnsi="Arial"/>
          <w:sz w:val="18"/>
          <w:szCs w:val="18"/>
          <w:i w:val="1"/>
          <w:iCs w:val="1"/>
          <w:color w:val="auto"/>
        </w:rPr>
      </w:pPr>
      <w:r>
        <w:rPr>
          <w:rFonts w:ascii="Arial" w:cs="Arial" w:eastAsia="Arial" w:hAnsi="Arial"/>
          <w:sz w:val="18"/>
          <w:szCs w:val="18"/>
          <w:color w:val="auto"/>
        </w:rPr>
        <w:t>Subject to the Law, the Company may redeem at any time any or all of the Redeemable Deferred Shares.</w:t>
      </w:r>
    </w:p>
    <w:p>
      <w:pPr>
        <w:spacing w:after="0" w:line="153" w:lineRule="exact"/>
        <w:rPr>
          <w:rFonts w:ascii="Arial" w:cs="Arial" w:eastAsia="Arial" w:hAnsi="Arial"/>
          <w:sz w:val="18"/>
          <w:szCs w:val="18"/>
          <w:i w:val="1"/>
          <w:iCs w:val="1"/>
          <w:color w:val="auto"/>
        </w:rPr>
      </w:pPr>
    </w:p>
    <w:p>
      <w:pPr>
        <w:jc w:val="both"/>
        <w:ind w:left="1740" w:right="459" w:hanging="651"/>
        <w:spacing w:after="0" w:line="253"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 Company shall give prior notice in writing to the relevant Member of the particular Redeemable Deferred Shares to be redeemed under the opening paragraph of Article </w:t>
      </w:r>
      <w:r>
        <w:rPr>
          <w:rFonts w:ascii="Arial" w:cs="Arial" w:eastAsia="Arial" w:hAnsi="Arial"/>
          <w:sz w:val="18"/>
          <w:szCs w:val="18"/>
          <w:u w:val="single" w:color="auto"/>
          <w:color w:val="auto"/>
        </w:rPr>
        <w:t>29</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740" w:right="459" w:hanging="651"/>
        <w:spacing w:after="0" w:line="257" w:lineRule="auto"/>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 notice given in accordance with Article </w:t>
      </w:r>
      <w:r>
        <w:rPr>
          <w:rFonts w:ascii="Arial" w:cs="Arial" w:eastAsia="Arial" w:hAnsi="Arial"/>
          <w:sz w:val="18"/>
          <w:szCs w:val="18"/>
          <w:u w:val="single" w:color="auto"/>
          <w:color w:val="auto"/>
        </w:rPr>
        <w:t>29(a)</w:t>
      </w:r>
      <w:r>
        <w:rPr>
          <w:rFonts w:ascii="Arial" w:cs="Arial" w:eastAsia="Arial" w:hAnsi="Arial"/>
          <w:sz w:val="18"/>
          <w:szCs w:val="18"/>
          <w:color w:val="auto"/>
        </w:rPr>
        <w:t xml:space="preserve"> above (a "</w:t>
      </w:r>
      <w:r>
        <w:rPr>
          <w:rFonts w:ascii="Arial" w:cs="Arial" w:eastAsia="Arial" w:hAnsi="Arial"/>
          <w:sz w:val="18"/>
          <w:szCs w:val="18"/>
          <w:b w:val="1"/>
          <w:bCs w:val="1"/>
          <w:color w:val="auto"/>
        </w:rPr>
        <w:t>Redemption Notice</w:t>
      </w:r>
      <w:r>
        <w:rPr>
          <w:rFonts w:ascii="Arial" w:cs="Arial" w:eastAsia="Arial" w:hAnsi="Arial"/>
          <w:sz w:val="18"/>
          <w:szCs w:val="18"/>
          <w:color w:val="auto"/>
        </w:rPr>
        <w:t>") shall specify the particular Redeemable Deferred Shares to be redeemed and, subject to the Law, the date when the redemption is to be effective (a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left="1740" w:right="459" w:hanging="651"/>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On a Redemption Date, the Company shall, subject to the Law, redeem the particular Redeemable Deferred Shares to be redeemed on that date and each of the holders of the Redeemable Deferred Shares concerned shall be bound to deliver to the Company at the Office or such other place specified in the Redemption Notice, or otherwise specified in writing by the Company, the original share certificates for (or such other evidence (if any) as the Directors may reasonably require to prove title to) those Redeemable Deferred Shares which are to be presented for redemption.</w:t>
      </w:r>
    </w:p>
    <w:p>
      <w:pPr>
        <w:spacing w:after="0" w:line="184" w:lineRule="exact"/>
        <w:rPr>
          <w:rFonts w:ascii="Arial" w:cs="Arial" w:eastAsia="Arial" w:hAnsi="Arial"/>
          <w:sz w:val="18"/>
          <w:szCs w:val="18"/>
          <w:color w:val="auto"/>
        </w:rPr>
      </w:pPr>
    </w:p>
    <w:p>
      <w:pPr>
        <w:jc w:val="both"/>
        <w:ind w:left="1740" w:right="459" w:hanging="651"/>
        <w:spacing w:after="0"/>
        <w:tabs>
          <w:tab w:leader="none" w:pos="17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There shall be paid on each Redeemable Deferred Share to be redeemed under this Article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an amount equal to the aggregate cash sum actually received by the Company (if any) from the subscriber in respect of the amount paid up at the time of issue of any Redeemable Deferred Shares (or any Ordinary Shares which have been subsequently converted into Redeemable Deferred Shares), provided that each Redeemable Deferred Share to be redeemed under Article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will be redeemed at nil value and any such redemption shall cancel any obligation or undertaking to pay up the Redeemable Deferred Shares then outstanding.</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Fully-paid Shares</w:t>
      </w: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Redeemable Deferred Shares may only be issued fully paid or credited as fully paid.</w:t>
      </w: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Voting</w:t>
      </w:r>
    </w:p>
    <w:p>
      <w:pPr>
        <w:spacing w:after="0" w:line="210" w:lineRule="exact"/>
        <w:rPr>
          <w:sz w:val="20"/>
          <w:szCs w:val="20"/>
          <w:color w:val="auto"/>
        </w:rPr>
      </w:pPr>
    </w:p>
    <w:p>
      <w:pPr>
        <w:ind w:left="1080" w:right="459"/>
        <w:spacing w:after="0" w:line="271" w:lineRule="auto"/>
        <w:rPr>
          <w:sz w:val="20"/>
          <w:szCs w:val="20"/>
          <w:color w:val="auto"/>
        </w:rPr>
      </w:pPr>
      <w:r>
        <w:rPr>
          <w:rFonts w:ascii="Arial" w:cs="Arial" w:eastAsia="Arial" w:hAnsi="Arial"/>
          <w:sz w:val="18"/>
          <w:szCs w:val="18"/>
          <w:color w:val="auto"/>
        </w:rPr>
        <w:t>The holders of the Redeemable Deferred Shares shall not have the right to receive notice or to attend or to vote at any general meeting.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ALTERATION OF SHARE CAPITAL</w:t>
      </w:r>
    </w:p>
    <w:p>
      <w:pPr>
        <w:spacing w:after="0" w:line="212" w:lineRule="exact"/>
        <w:rPr>
          <w:sz w:val="20"/>
          <w:szCs w:val="20"/>
          <w:color w:val="auto"/>
        </w:rPr>
      </w:pPr>
    </w:p>
    <w:p>
      <w:pPr>
        <w:ind w:left="1080" w:right="459" w:hanging="639"/>
        <w:spacing w:after="0" w:line="27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may, by altering its Memorandum of Association by Special Resolution, alter its share capital in any manner permitted by the Law.</w:t>
      </w:r>
    </w:p>
    <w:p>
      <w:pPr>
        <w:spacing w:after="0" w:line="15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capital raised by the issue of shares shall, unless otherwise provided by the conditions of issue of such shares, be considered as part of the original capital, and such shares shall be subject to the provisions of these Articles with reference to the payment of calls, transfer and transmission of shares, lien or otherwise, applicable to the existing shares in the Company.</w:t>
      </w:r>
    </w:p>
    <w:p>
      <w:pPr>
        <w:spacing w:after="0" w:line="17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provisions of the Law, the Company may reduce its share capital in any way. A reduction of capital shall be sanctioned by Special Resolution.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 w:name="page29"/>
    <w:bookmarkEnd w:id="28"/>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VARIATION OF RIGHTS</w:t>
      </w:r>
    </w:p>
    <w:p>
      <w:pPr>
        <w:spacing w:after="0" w:line="212" w:lineRule="exact"/>
        <w:rPr>
          <w:sz w:val="20"/>
          <w:szCs w:val="20"/>
          <w:color w:val="auto"/>
        </w:rPr>
      </w:pPr>
    </w:p>
    <w:p>
      <w:pPr>
        <w:jc w:val="both"/>
        <w:ind w:left="1080" w:right="459" w:hanging="639"/>
        <w:spacing w:after="0" w:line="23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Whenever the capital of the Company is divided into different classes of shares, the special rights attached to any class, unless otherwise provided by the terms of issue of the shares of that class and, where applicable, subject to the rules and regulations of the Designated Stock Exchange, may be varied or abrogated, either whilst the Company is a going concern or during or in contemplation of a winding up, with the sanction of an Ordinary Resolution passed at a separate meeting of the holders of shares of that class. To every such separate meeting all the provisions of these Articles and of the Law relating to general meetings of the Company or to the proceedings thereat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except that the necessary quorum shall be not less than two persons holding or representing at least one-third in nominal amount of the issued shares of that class but so that if at any adjourned meeting of such holders a quorum as above defined is not present, those holders who are present in person shall be a quorum.</w:t>
      </w:r>
    </w:p>
    <w:p>
      <w:pPr>
        <w:spacing w:after="0" w:line="182"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special rights conferred upon the holders of any class of shares issued with preferred or other special rights shall be deemed to be varied by the reduction of the capital paid up on such shares and by the creation of further shares ranking in priority thereto, but shall not (unless otherwise expressly provided by these Articles or by the conditions of issue of such shares) be deemed to be varied by the creation or issue of further shares ranking after or pari passu therewith. The rights conferred upon the holders of Ordinary Shares shall be deemed not to be varied by the creation or issue of any Preferred Shares or any other class or series of Preferred Shares with such special rights attaching to them as may be set out in a Statement of Rights or other terms of issue or the redemption or conversion of Preferred Shares of any class or series in accordance with the applicable Statement of Rights or other terms of issue. The rights conferred upon the holders of Ordinary Shares shall be deemed not to be varied by the conversion and redemption of Ordinary Shares in accordance with Article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or any purchase or redemption by the Company of its own shares.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CERTIFICATES</w:t>
      </w:r>
    </w:p>
    <w:p>
      <w:pPr>
        <w:spacing w:after="0" w:line="212" w:lineRule="exact"/>
        <w:rPr>
          <w:sz w:val="20"/>
          <w:szCs w:val="20"/>
          <w:color w:val="auto"/>
        </w:rPr>
      </w:pPr>
    </w:p>
    <w:p>
      <w:pPr>
        <w:ind w:left="1080" w:right="459" w:hanging="639"/>
        <w:spacing w:after="0" w:line="27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otherwise provided by the Companies (Transfers of Shares – Exemptions) (Jersey) Order 2014 (as amended), every Member shall be entitled:</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without payment, to one certificate for all their shares of each class and, when part only of the shares comprised in a certificate is sold or transferred, to a new certificate for the remainder of the shares so comprised; or</w:t>
      </w:r>
    </w:p>
    <w:p>
      <w:pPr>
        <w:spacing w:after="0" w:line="16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payment of such sum for each certificate as the Directors shall from time to time determine, to several certificates each for one or more of their shares of any class.</w:t>
      </w:r>
    </w:p>
    <w:p>
      <w:pPr>
        <w:spacing w:after="0" w:line="153"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Every certificate shall be issued within two months after allotment or lodgement of transfer (or within such other period as the conditions of issue shall provide or as the rules and regulations of the Designated Stock Exchange, the SEC and/or any other competent regulatory authority or otherwise under Applicable Law may from time to time determine, whichever is shorter), shall be issued either under seal or signed by two Directors or by one Director and the Secretary, and shall specify the shares to which it relates and the amount paid up thereon and, if so required by the Law, the distinguishing numbers of such shares.</w:t>
      </w:r>
    </w:p>
    <w:p>
      <w:pPr>
        <w:spacing w:after="0" w:line="184"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respect of a share held jointly by several persons, the Company shall not be bound to issue more than one certificate, and delivery of a certificate for a share to one of several joint holders shall be sufficient delivery to all such holders.</w:t>
      </w:r>
    </w:p>
    <w:p>
      <w:pPr>
        <w:spacing w:after="0" w:line="168"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share certificate is defaced, damaged, lost or destroyed, it may be renewed on payment of such fee and on such terms (if any) as to evidence and indemnity and the payment of out-of-pocket expenses of the Company in relation thereto as the Directors think fit.</w:t>
      </w:r>
    </w:p>
    <w:p>
      <w:pPr>
        <w:spacing w:after="0" w:line="196" w:lineRule="exact"/>
        <w:rPr>
          <w:sz w:val="20"/>
          <w:szCs w:val="20"/>
          <w:color w:val="auto"/>
        </w:rPr>
      </w:pPr>
    </w:p>
    <w:p>
      <w:pPr>
        <w:jc w:val="both"/>
        <w:ind w:left="1100" w:right="459" w:hanging="659"/>
        <w:spacing w:after="0" w:line="253" w:lineRule="auto"/>
        <w:tabs>
          <w:tab w:leader="none" w:pos="1080" w:val="left"/>
        </w:tabs>
        <w:rPr>
          <w:sz w:val="20"/>
          <w:szCs w:val="20"/>
          <w:color w:val="auto"/>
        </w:rPr>
      </w:pPr>
      <w:r>
        <w:rPr>
          <w:rFonts w:ascii="Arial" w:cs="Arial" w:eastAsia="Arial" w:hAnsi="Arial"/>
          <w:sz w:val="18"/>
          <w:szCs w:val="18"/>
          <w:color w:val="auto"/>
        </w:rPr>
        <w:t>38A.</w:t>
        <w:tab/>
        <w:t xml:space="preserve">Upon the enactment of the Companies (Jersey) Amendment Law 2026, Articles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38</w:t>
      </w:r>
      <w:r>
        <w:rPr>
          <w:rFonts w:ascii="Arial" w:cs="Arial" w:eastAsia="Arial" w:hAnsi="Arial"/>
          <w:sz w:val="18"/>
          <w:szCs w:val="18"/>
          <w:color w:val="auto"/>
        </w:rPr>
        <w:t xml:space="preserve"> above will no longer apply and the Company will not be required to issue, prepare or deliver share certificates to any Member unless the Directors determine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 w:name="page30"/>
    <w:bookmarkEnd w:id="29"/>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 OF MEMBERS</w:t>
      </w:r>
    </w:p>
    <w:p>
      <w:pPr>
        <w:spacing w:after="0" w:line="212" w:lineRule="exact"/>
        <w:rPr>
          <w:sz w:val="20"/>
          <w:szCs w:val="20"/>
          <w:color w:val="auto"/>
        </w:rPr>
      </w:pPr>
    </w:p>
    <w:p>
      <w:pPr>
        <w:jc w:val="both"/>
        <w:ind w:left="1080" w:right="459" w:hanging="639"/>
        <w:spacing w:after="0" w:line="23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Directors shall keep or cause to be kept at the Office or at such other place in Jersey where it is made up, as the Directors may from time to time determine, a Register in the manner required by the Law, provided that for so long as the securities of the Company are listed for trading on the Designated Stock Exchange, title to such securities may be evidenced and transferred in accordance with the laws applicable to and the rules and regulations of the Designated Stock Exchange. In each year the Directors shall prepare or cause to be prepared and filed an annual return containing the particulars required by the Law. If the Company transacts business in any country, territory or place outside Jersey it may cause to be kept there an overseas branch register in accordance with the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HOLDERS</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Where two or more persons are registered as the holders of any share they shall be deemed to hold the same as joint tenants with the benefit of survivorship, subject to the following provisions:</w:t>
      </w:r>
    </w:p>
    <w:p>
      <w:pPr>
        <w:spacing w:after="0" w:line="16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shall not be bound to register more than four persons as the joint holders of any share;</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joint holders of any share shall be liable, severally as well as jointly, in respect of all payments to be made in respect of such share;</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one of such joint holders may give a good receipt for any dividend, bonus or return of capital payable to such joint holders;</w:t>
      </w:r>
    </w:p>
    <w:p>
      <w:pPr>
        <w:spacing w:after="0" w:line="15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only the senior of the joint holders of a share shall be entitled to delivery of the certificate relating to such share or to receive notices from the Company and any notice given to the senior joint holder shall be deemed notice to all the joint holders; and</w:t>
      </w:r>
    </w:p>
    <w:p>
      <w:pPr>
        <w:spacing w:after="0" w:line="17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purpose of the provisions of this Article, seniority shall be determined by the order in which the names of the joint holders appear in the Register.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LIEN</w:t>
      </w:r>
    </w:p>
    <w:p>
      <w:pPr>
        <w:spacing w:after="0" w:line="212" w:lineRule="exact"/>
        <w:rPr>
          <w:sz w:val="20"/>
          <w:szCs w:val="20"/>
          <w:color w:val="auto"/>
        </w:rPr>
      </w:pPr>
    </w:p>
    <w:p>
      <w:pPr>
        <w:jc w:val="both"/>
        <w:ind w:left="1080" w:right="459" w:hanging="639"/>
        <w:spacing w:after="0" w:line="23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on every share (not being a fully paid share) for all monies, whether presently payable or not, called or payable at a fixed time in respect of such shares; and the Company shall also have a first and paramount lien on all shares (other than fully paid shares) registered in the name of a single Member for all the debts and liabilities of such Member or their estate to the Company, whether the same shall have been incurred before or after notice to the Company of any interest of any person other than such Member and whether the period for the payment or discharge of the same shall have actually commenced or not, and notwithstanding that the same are joint debts or liabilities of such Member or their estate and any other person whether a Member or not. The Company's lien (if any) on a share shall extend to all dividends or other monies payable thereon or in respect thereof. The Directors may resolve that any share shall, for such period as they think fit, be exempt from the provisions of this Article.</w:t>
      </w:r>
    </w:p>
    <w:p>
      <w:pPr>
        <w:spacing w:after="0" w:line="182"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think fit, any shares on which the Company has a lien, but no sale shall be made unless some monies in respect of which the lien exists are presently payable, and fourteen days have expired after a notice, stating and demanding payment of the monies presently payable and giving notice of intention to sell in default, shall have been served on the holder for the time being of the shares or the person entitled by reason of their death or bankruptcy to the shares.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193" w:lineRule="exact"/>
        <w:rPr>
          <w:sz w:val="20"/>
          <w:szCs w:val="20"/>
          <w:color w:val="auto"/>
        </w:rPr>
      </w:pPr>
    </w:p>
    <w:p>
      <w:pPr>
        <w:jc w:val="both"/>
        <w:ind w:left="1080" w:right="459" w:hanging="639"/>
        <w:spacing w:after="0" w:line="23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net proceeds of such sale, after payment of the costs of such sale, shall be applied in or towards payment or satisfaction of the debt or liability in respect whereof the lien exists, so far as the same is presently payable, and any residue shall (subject to a like lien for debts or liabilities not presently payable as existed upon the shares prior to the sale) be paid to the person entitled to the shares at the time of the sale. For giving effect to any such sale the Directors may authorise a person to execute an instrument of transfer of the shares sold to the purchaser thereof. The purchaser shall be registered as the holder of the shares so transferred and they shall not be bound to see to the application of the purchase money nor shall their title to the shares be affected by any irregularity or invalidity in the proceedings in reference to the sale.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CALLS ON SHARES</w:t>
      </w:r>
    </w:p>
    <w:p>
      <w:pPr>
        <w:spacing w:after="0" w:line="212" w:lineRule="exact"/>
        <w:rPr>
          <w:sz w:val="20"/>
          <w:szCs w:val="20"/>
          <w:color w:val="auto"/>
        </w:rPr>
      </w:pPr>
    </w:p>
    <w:p>
      <w:pPr>
        <w:jc w:val="both"/>
        <w:ind w:left="1080" w:right="459" w:hanging="639"/>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subject to the provisions of these Articles and to any conditions of allotment, from time to time make calls upon the Members in respect of any monies unpaid on their shares (whether on account of the nominal amount of the shares or by way of premium) PROVIDED THAT (except as otherwise fixed by the conditions of application or allotment) no call on any share shall be payable within fourteen days of the date appointed for payment of the last preceding call, and each Member shall (subject to being given at least fourteen Clear Days' notice specifying the time or times and place of payment) pay to the Company at the time or times and place so specified the amount called on their shares.</w:t>
      </w:r>
    </w:p>
    <w:p>
      <w:pPr>
        <w:spacing w:after="0" w:line="180"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call may be made payable by instalments. A call may be postponed or wholly or in part revoked as the Directors may determine. A call shall be deemed to have been made at the time when the resolution of the Directors authorising the call was passed.</w:t>
      </w:r>
    </w:p>
    <w:p>
      <w:pPr>
        <w:spacing w:after="0" w:line="168"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may be required to pay interest on the sum from the day appointed for payment thereof to the time of actual payment at a rate determined by the Directors not exceeding the rate of ten percent per annum.</w:t>
      </w:r>
    </w:p>
    <w:p>
      <w:pPr>
        <w:spacing w:after="0" w:line="173"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sum which by or pursuant to the terms of issue of a share becomes payable upon allotment or at any fixed date (whether on account of the nominal amount of the share or by way of premium) shall, for all the purposes of these Articles, be deemed to be a call duly made and payable on the date on which, by or pursuant to the terms of issue, the same becomes payable, and in case of nonpayment,­ all the relevant provisions of these Articles as to payment of interest, forfeiture or otherwise shall apply as if such sum had become payable by virtue of a call duly made and notified.</w:t>
      </w:r>
    </w:p>
    <w:p>
      <w:pPr>
        <w:spacing w:after="0" w:line="184"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make arrangements on the issue of shares for a difference between the holders in the amount of calls to be paid and in the times of payment.</w:t>
      </w:r>
    </w:p>
    <w:p>
      <w:pPr>
        <w:spacing w:after="0" w:line="153"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Directors may, if they think fit, receive from any Member willing to advance the same, all or any part of the money uncalled and unpaid upon the shares held by them beyond the sums actually called up thereon as a payment in advance of calls. Any such payment in advance of calls shall extinguish, so far as the same shall extend, the liability upon the shares in respect of which it is advanced. The Company may pay interest upon the money so received, or upon so much thereof as from time to time exceeds the amount of the calls then made upon the shares in respect of which it has been received, at such rate as the Directors shall think fit PROVIDED THAT any amount paid up in advance of calls shall not entitle the holder of the shares upon which such amount is paid to participate in respect thereof in any dividend until the same would but for such advance become presently payable.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1" w:name="page32"/>
    <w:bookmarkEnd w:id="31"/>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FORFEITURE AND SURRENDER OF SHARES</w:t>
      </w:r>
    </w:p>
    <w:p>
      <w:pPr>
        <w:spacing w:after="0" w:line="212" w:lineRule="exact"/>
        <w:rPr>
          <w:sz w:val="20"/>
          <w:szCs w:val="20"/>
          <w:color w:val="auto"/>
        </w:rPr>
      </w:pPr>
    </w:p>
    <w:p>
      <w:pPr>
        <w:jc w:val="both"/>
        <w:ind w:left="1080" w:right="459" w:hanging="639"/>
        <w:spacing w:after="0" w:line="242"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or before the day appointed for payment thereof, the Directors may at any time thereafter, during such time as any part of such call or instalment remains unpaid, serve a notice on them requiring payment of so much of the call or instalment as is unpaid, together with any interest which may have accrued and any expenses which may have been incurred by the Company by reason of such non-payment or accept their surrender instead of causing them to be so forfeited.</w:t>
      </w:r>
    </w:p>
    <w:p>
      <w:pPr>
        <w:spacing w:after="0" w:line="178"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notice shall name a further day (not earlier than fourteen days from the date of service thereof) on or before which and the place where the payment required by the notice is to be made, and shall state that, in the event of non-payment at or before the time and at the place appointed, the shares on which the call was made will be liable to be forfeited.</w:t>
      </w:r>
    </w:p>
    <w:p>
      <w:pPr>
        <w:spacing w:after="0" w:line="17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such notice has been given may at any time thereafter, before payments of all calls and interest due in respect thereof have been made, be forfeited by a resolution of the Directors to that effect, and such forfeiture shall include all dividends which shall have been declared on the forfeited shares and not actually paid before the forfeiture.</w:t>
      </w:r>
    </w:p>
    <w:p>
      <w:pPr>
        <w:spacing w:after="0" w:line="176"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When any share has been forfeited in accordance with these Articles, notice of the forfeiture shall forthwith be given to the holder of the share or the person entitled to the share by transmission, as the case may be, and an entry of such notice having been given, and of the forfeiture with the date thereof, shall forthwith be made in the Register opposite to the entry of the share; but no forfeiture shall be invalidated in any manner by any omission or neglect to give such notice or to make such entry as aforesaid.</w:t>
      </w:r>
    </w:p>
    <w:p>
      <w:pPr>
        <w:spacing w:after="0" w:line="178"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forfeited or surrendered share may be sold, re-allotted or otherwise disposed of, either to the person who was before forfeiture or surrender the holder thereof or entitled thereto, or to any other person, upon such terms and in such manner as the Directors think fit, and at any time before a sale, re-allotment or disposition the forfeiture or surrender may be cancelled on such terms as the Directors think fit. The Directors may, if necessary, authorise some person to transfer a forfeited or surrendered share to any other person as aforesaid.</w:t>
      </w:r>
    </w:p>
    <w:p>
      <w:pPr>
        <w:spacing w:after="0" w:line="17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Member whose shares have been forfeited or surrendered shall cease to be a Member in respect of the forfeited or surrendered shares but shall, notwithstanding the forfeiture or surrender, remain liable to pay to the Company all monies which at the date of forfeiture or surrender were presently payable by them to the Company in respect of the shares, with interest thereon at a rate determined by the Directors not exceeding ten percent per annum from the date of forfeiture or surrender as the case may be until payment and the Directors may enforce payment without any allowance for the value of the shares at the time of forfeiture or surrender.</w:t>
      </w:r>
    </w:p>
    <w:p>
      <w:pPr>
        <w:spacing w:after="0" w:line="180"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affidavit by a Director or the Secretary that a share has been duly forfeited or surrendered on the date stated therein shall be conclusive evidence of the facts so stated as against all persons claiming to be entitled to the share and such affidavit and the receipt of the Company for the consideration (if any) given for the share on the sale, re-allotment or disposal thereof, together with the certificate for the share delivered to a purchaser or allottee thereof, shall (subject to the execution of a transfer if the same be so required) constitute good title to the share and the person to whom the share is sold, re-allotted or disposed of shall be registered as the holder of the share and shall not be bound to see to the application of the consideration (if any), nor shall their title to the share be affected by any irregularity or invalidity in the proceedings in respect of the forfeiture, surrender, sale, re-allotment or disposal of the share.</w:t>
      </w:r>
    </w:p>
    <w:p>
      <w:pPr>
        <w:spacing w:after="0" w:line="185"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and surrender shall apply in the case of non-payment of any sum which by the terms of issue of a share becomes payable at a fixed time (whether on account of the nominal amount of the share or by way of premium) as if the same had been payable by virtue of a call duly made and notified.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AND TRANSMISSION OF SHARES</w:t>
      </w:r>
    </w:p>
    <w:p>
      <w:pPr>
        <w:spacing w:after="0" w:line="212" w:lineRule="exact"/>
        <w:rPr>
          <w:sz w:val="20"/>
          <w:szCs w:val="20"/>
          <w:color w:val="auto"/>
        </w:rPr>
      </w:pPr>
    </w:p>
    <w:p>
      <w:pPr>
        <w:jc w:val="both"/>
        <w:ind w:left="1080" w:right="459" w:hanging="639"/>
        <w:spacing w:after="0" w:line="24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Subject to Article </w:t>
      </w:r>
      <w:r>
        <w:rPr>
          <w:rFonts w:ascii="Arial" w:cs="Arial" w:eastAsia="Arial" w:hAnsi="Arial"/>
          <w:sz w:val="18"/>
          <w:szCs w:val="18"/>
          <w:u w:val="single" w:color="auto"/>
          <w:color w:val="auto"/>
        </w:rPr>
        <w:t>39</w:t>
      </w:r>
      <w:r>
        <w:rPr>
          <w:rFonts w:ascii="Arial" w:cs="Arial" w:eastAsia="Arial" w:hAnsi="Arial"/>
          <w:sz w:val="18"/>
          <w:szCs w:val="18"/>
          <w:color w:val="auto"/>
        </w:rPr>
        <w:t>, all transfers of shares shall be effected by notice or share transfer form (each a "</w:t>
      </w:r>
      <w:r>
        <w:rPr>
          <w:rFonts w:ascii="Arial" w:cs="Arial" w:eastAsia="Arial" w:hAnsi="Arial"/>
          <w:sz w:val="18"/>
          <w:szCs w:val="18"/>
          <w:b w:val="1"/>
          <w:bCs w:val="1"/>
          <w:color w:val="auto"/>
        </w:rPr>
        <w:t>Transfer Notice</w:t>
      </w:r>
      <w:r>
        <w:rPr>
          <w:rFonts w:ascii="Arial" w:cs="Arial" w:eastAsia="Arial" w:hAnsi="Arial"/>
          <w:sz w:val="18"/>
          <w:szCs w:val="18"/>
          <w:color w:val="auto"/>
        </w:rPr>
        <w:t>") in the usual common form or in any other form approved by the</w:t>
      </w:r>
    </w:p>
    <w:p>
      <w:pPr>
        <w:jc w:val="both"/>
        <w:ind w:left="1080" w:right="459"/>
        <w:spacing w:after="0" w:line="242" w:lineRule="auto"/>
        <w:rPr>
          <w:sz w:val="20"/>
          <w:szCs w:val="20"/>
          <w:color w:val="auto"/>
        </w:rPr>
      </w:pPr>
      <w:r>
        <w:rPr>
          <w:rFonts w:ascii="Arial" w:cs="Arial" w:eastAsia="Arial" w:hAnsi="Arial"/>
          <w:sz w:val="18"/>
          <w:szCs w:val="18"/>
          <w:color w:val="auto"/>
        </w:rPr>
        <w:t>Directors, provided that such transfer complies with the rules and regulations of the Designated Stock Exchange, the SEC and/or any other competent regulatory authority or otherwise under Applicable Law.</w:t>
      </w:r>
    </w:p>
    <w:p>
      <w:pPr>
        <w:spacing w:after="0" w:line="179" w:lineRule="exact"/>
        <w:rPr>
          <w:sz w:val="20"/>
          <w:szCs w:val="20"/>
          <w:color w:val="auto"/>
        </w:rPr>
      </w:pPr>
    </w:p>
    <w:p>
      <w:pPr>
        <w:jc w:val="both"/>
        <w:ind w:left="1080" w:right="459" w:hanging="639"/>
        <w:spacing w:after="0" w:line="25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Transfer Notices shall be signed by or on behalf of the transferor and, in the case of a partly paid share, by the transferee. The transferor shall be deemed to remain the holder of the share until the name of the transferee is entered on the Register in respect thereof.</w:t>
      </w:r>
    </w:p>
    <w:p>
      <w:pPr>
        <w:spacing w:after="0" w:line="16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Directors may in their absolute discretion, and without assigning any reason therefor, refuse to register any transfer of partly paid shares, including a transfer of such shares to a person of whom they do not approve and may refuse to register any transfer of shares on which the Company has a lien, but shall not otherwise refuse to register a transfer of shares made in accordance with these Articles.</w:t>
      </w:r>
    </w:p>
    <w:p>
      <w:pPr>
        <w:spacing w:after="0" w:line="176" w:lineRule="exact"/>
        <w:rPr>
          <w:rFonts w:ascii="Arial" w:cs="Arial" w:eastAsia="Arial" w:hAnsi="Arial"/>
          <w:sz w:val="18"/>
          <w:szCs w:val="18"/>
          <w:color w:val="auto"/>
        </w:rPr>
      </w:pPr>
    </w:p>
    <w:p>
      <w:pPr>
        <w:ind w:left="1080" w:hanging="639"/>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Directors may decline to recognise any Transfer Notice, unless:</w:t>
      </w:r>
    </w:p>
    <w:p>
      <w:pPr>
        <w:spacing w:after="0" w:line="211"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Transfer Notice is deposited at the Office or such other place as the Directors may appoint accompanied by the certificate for the shares to which it relates and such other evidence as the Directors may reasonably require to show the right of the transferor to make the transfer; and</w:t>
      </w:r>
    </w:p>
    <w:p>
      <w:pPr>
        <w:spacing w:after="0" w:line="173" w:lineRule="exact"/>
        <w:rPr>
          <w:rFonts w:ascii="Arial" w:cs="Arial" w:eastAsia="Arial" w:hAnsi="Arial"/>
          <w:sz w:val="18"/>
          <w:szCs w:val="18"/>
          <w:color w:val="auto"/>
        </w:rPr>
      </w:pPr>
    </w:p>
    <w:p>
      <w:pPr>
        <w:ind w:left="1740" w:hanging="651"/>
        <w:spacing w:after="0"/>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Transfer Notice is in respect of only one class of shares.</w:t>
      </w:r>
    </w:p>
    <w:p>
      <w:pPr>
        <w:spacing w:after="0" w:line="211"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Directors refuse to register any transfer of shares they shall, within two months after the date on which the Transfer Notice was lodged with the Company, send to the proposed transferor and transferee notice of the refusal.</w:t>
      </w:r>
    </w:p>
    <w:p>
      <w:pPr>
        <w:spacing w:after="0" w:line="168"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Transfer Notices relating to transfers of shares which are registered shall be retained by the Company, but any Transfer Notices relating to transfers of shares which the Directors decline to register shall (except in any case of fraud) be returned to the person depositing the same.</w:t>
      </w:r>
    </w:p>
    <w:p>
      <w:pPr>
        <w:spacing w:after="0" w:line="173" w:lineRule="exact"/>
        <w:rPr>
          <w:rFonts w:ascii="Arial" w:cs="Arial" w:eastAsia="Arial" w:hAnsi="Arial"/>
          <w:sz w:val="18"/>
          <w:szCs w:val="18"/>
          <w:color w:val="auto"/>
        </w:rPr>
      </w:pPr>
    </w:p>
    <w:p>
      <w:pPr>
        <w:ind w:left="1080" w:hanging="639"/>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of transfers of shares or of any class of shares may not be suspended.</w:t>
      </w:r>
    </w:p>
    <w:p>
      <w:pPr>
        <w:spacing w:after="0" w:line="211"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respect of any allotment of any share the Directors shall have the same right to decline to approve the registration of any renouncee of any allottee as if the application to allot and the renunciation were a transfer of a share under these Articles.</w:t>
      </w:r>
    </w:p>
    <w:p>
      <w:pPr>
        <w:spacing w:after="0" w:line="16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the death of a Member, the survivors or survivor, where the deceased was a joint holder, and the executors or administrators of the deceased, where they were a sole or only surviving holder, shall be the only persons recognised by the Company as having any title to their interest in the shares, but nothing in this Article shall release the estate of a deceased joint holder from any liability in respect of any share jointly held by them.</w:t>
      </w:r>
    </w:p>
    <w:p>
      <w:pPr>
        <w:spacing w:after="0" w:line="176"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guardian of an infant Member and any curator or guardian or other legal representative of a Member under legal disability and any person becoming entitled to a share in consequence of the death or insolvency or bankruptcy of a Member or otherwise by operation of law may, upon such evidence as to their entitlement being produced as may from time to time be required by the Directors and subject as hereinafter provided, elect either to be registered themselves as the holder of the share or to have some person nominated by them registered as the holder thereof.</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93" w:lineRule="exact"/>
        <w:rPr>
          <w:sz w:val="20"/>
          <w:szCs w:val="20"/>
          <w:color w:val="auto"/>
        </w:rPr>
      </w:pPr>
    </w:p>
    <w:p>
      <w:pPr>
        <w:jc w:val="both"/>
        <w:ind w:left="1080" w:right="459" w:hanging="639"/>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person so becoming entitled shall elect to be registered themselves, they shall deliver or send to the Company a notice signed by them stating that they so elect together with such evidence as to their entitlement as may from time to time be required by the Directors. If they shall elect to have another person registered, they shall testify their election by signing a Transfer Notice in favour of that person. All the limitations, restrictions and provisions of these Articles relating to the right to transfer and the registration of transfers of shares shall be applicable to any such notice or Transfer Notice as aforesaid as would have existed had such transfer occurred before the death, insolvency or bankruptcy of the Member concerned.</w:t>
      </w:r>
    </w:p>
    <w:p>
      <w:pPr>
        <w:spacing w:after="0" w:line="180"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becoming entitled to a share by reason of the death or insolvency or bankruptcy of a Member or otherwise by operation of law shall, upon such evidence as to their entitlement being produced as may from time to time be required by the Directors, be entitled to the same dividends and other advantages to which they would be entitled if they were the registered holder of the share, except that they shall not, before being registered as a Member in respect of the share, be entitled in respect of it to exercise any right conferred by membership in relation to meetings of the Company PROVIDED ALWAYS THAT the Directors may at any time give notice requiring any such person to elect either to be registered themself or to transfer the share and if the notice is not complied with within one month such person shall be deemed to have so elected to be registered themself and all the restrictions on the transfer and transmission of shares contained in these Articles shall apply to such election.</w:t>
      </w:r>
    </w:p>
    <w:p>
      <w:pPr>
        <w:spacing w:after="0" w:line="185"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Unless otherwise decided by the Directors in their sole discretion, no fee shall be charged in respect of the registration of any probate, letters of administration, certificate of marriage or death, power of attorney or other document relating to or affecting the title to any shares.</w:t>
      </w:r>
    </w:p>
    <w:p>
      <w:pPr>
        <w:spacing w:after="0" w:line="168" w:lineRule="exact"/>
        <w:rPr>
          <w:rFonts w:ascii="Arial" w:cs="Arial" w:eastAsia="Arial" w:hAnsi="Arial"/>
          <w:sz w:val="18"/>
          <w:szCs w:val="18"/>
          <w:color w:val="auto"/>
        </w:rPr>
      </w:pPr>
    </w:p>
    <w:p>
      <w:pPr>
        <w:ind w:left="1080" w:hanging="639"/>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Despite anything to the contrary contained in these Articles:</w:t>
      </w:r>
    </w:p>
    <w:p>
      <w:pPr>
        <w:spacing w:after="0" w:line="211" w:lineRule="exact"/>
        <w:rPr>
          <w:rFonts w:ascii="Arial" w:cs="Arial" w:eastAsia="Arial" w:hAnsi="Arial"/>
          <w:sz w:val="18"/>
          <w:szCs w:val="18"/>
          <w:color w:val="auto"/>
        </w:rPr>
      </w:pPr>
    </w:p>
    <w:p>
      <w:pPr>
        <w:jc w:val="both"/>
        <w:ind w:left="1740" w:right="459" w:hanging="651"/>
        <w:spacing w:after="0"/>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Directors shall promptly register (and may not decline to register) the transfer of any Shares (the "</w:t>
      </w:r>
      <w:r>
        <w:rPr>
          <w:rFonts w:ascii="Arial" w:cs="Arial" w:eastAsia="Arial" w:hAnsi="Arial"/>
          <w:sz w:val="18"/>
          <w:szCs w:val="18"/>
          <w:b w:val="1"/>
          <w:bCs w:val="1"/>
          <w:color w:val="auto"/>
        </w:rPr>
        <w:t>Secured Shares</w:t>
      </w:r>
      <w:r>
        <w:rPr>
          <w:rFonts w:ascii="Arial" w:cs="Arial" w:eastAsia="Arial" w:hAnsi="Arial"/>
          <w:sz w:val="18"/>
          <w:szCs w:val="18"/>
          <w:color w:val="auto"/>
        </w:rPr>
        <w:t>") over which a security interest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w:t>
      </w:r>
      <w:r>
        <w:rPr>
          <w:rFonts w:ascii="Arial" w:cs="Arial" w:eastAsia="Arial" w:hAnsi="Arial"/>
          <w:sz w:val="18"/>
          <w:szCs w:val="18"/>
          <w:color w:val="auto"/>
        </w:rPr>
        <w:t>") created pursuant to the Security Interests (Jersey) Law 2012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replaced, re-enacted or superseded) has been granted pursuant to a security agreement (the "</w:t>
      </w:r>
      <w:r>
        <w:rPr>
          <w:rFonts w:ascii="Arial" w:cs="Arial" w:eastAsia="Arial" w:hAnsi="Arial"/>
          <w:sz w:val="18"/>
          <w:szCs w:val="18"/>
          <w:b w:val="1"/>
          <w:bCs w:val="1"/>
          <w:color w:val="auto"/>
        </w:rPr>
        <w:t>Security Agreement</w:t>
      </w:r>
      <w:r>
        <w:rPr>
          <w:rFonts w:ascii="Arial" w:cs="Arial" w:eastAsia="Arial" w:hAnsi="Arial"/>
          <w:sz w:val="18"/>
          <w:szCs w:val="18"/>
          <w:color w:val="auto"/>
        </w:rPr>
        <w:t>") on receiving a signed and completed instrument of transfer (in a form required or permitted by these Articles) in respect of any of the Secured Shares if the transferee is a person:</w:t>
      </w:r>
    </w:p>
    <w:p>
      <w:pPr>
        <w:spacing w:after="0" w:line="184" w:lineRule="exact"/>
        <w:rPr>
          <w:rFonts w:ascii="Arial" w:cs="Arial" w:eastAsia="Arial" w:hAnsi="Arial"/>
          <w:sz w:val="18"/>
          <w:szCs w:val="18"/>
          <w:color w:val="auto"/>
        </w:rPr>
      </w:pPr>
    </w:p>
    <w:p>
      <w:pPr>
        <w:jc w:val="both"/>
        <w:ind w:left="2380" w:right="459" w:hanging="643"/>
        <w:spacing w:after="0" w:line="257" w:lineRule="auto"/>
        <w:tabs>
          <w:tab w:leader="none" w:pos="23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entitled to the benefit of the security interest pursuant to the Security Agreement or any person acting as agent, trustee or nominee for that person (the "</w:t>
      </w:r>
      <w:r>
        <w:rPr>
          <w:rFonts w:ascii="Arial" w:cs="Arial" w:eastAsia="Arial" w:hAnsi="Arial"/>
          <w:sz w:val="18"/>
          <w:szCs w:val="18"/>
          <w:b w:val="1"/>
          <w:bCs w:val="1"/>
          <w:color w:val="auto"/>
        </w:rPr>
        <w:t>Secured Party</w:t>
      </w:r>
      <w:r>
        <w:rPr>
          <w:rFonts w:ascii="Arial" w:cs="Arial" w:eastAsia="Arial" w:hAnsi="Arial"/>
          <w:sz w:val="18"/>
          <w:szCs w:val="18"/>
          <w:color w:val="auto"/>
        </w:rPr>
        <w:t>"); or</w:t>
      </w:r>
    </w:p>
    <w:p>
      <w:pPr>
        <w:spacing w:after="0" w:line="158" w:lineRule="exact"/>
        <w:rPr>
          <w:rFonts w:ascii="Arial" w:cs="Arial" w:eastAsia="Arial" w:hAnsi="Arial"/>
          <w:sz w:val="18"/>
          <w:szCs w:val="18"/>
          <w:color w:val="auto"/>
        </w:rPr>
      </w:pPr>
    </w:p>
    <w:p>
      <w:pPr>
        <w:ind w:left="2380" w:hanging="643"/>
        <w:spacing w:after="0"/>
        <w:tabs>
          <w:tab w:leader="none" w:pos="23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whom any of the Secured Shares are to be transferred by:</w:t>
      </w:r>
    </w:p>
    <w:p>
      <w:pPr>
        <w:spacing w:after="0" w:line="211" w:lineRule="exact"/>
        <w:rPr>
          <w:rFonts w:ascii="Arial" w:cs="Arial" w:eastAsia="Arial" w:hAnsi="Arial"/>
          <w:sz w:val="18"/>
          <w:szCs w:val="18"/>
          <w:color w:val="auto"/>
        </w:rPr>
      </w:pPr>
    </w:p>
    <w:p>
      <w:pPr>
        <w:ind w:left="3040" w:right="459" w:hanging="655"/>
        <w:spacing w:after="0" w:line="271" w:lineRule="auto"/>
        <w:tabs>
          <w:tab w:leader="none" w:pos="3040" w:val="left"/>
        </w:tabs>
        <w:numPr>
          <w:ilvl w:val="3"/>
          <w:numId w:val="44"/>
        </w:numPr>
        <w:rPr>
          <w:rFonts w:ascii="Arial" w:cs="Arial" w:eastAsia="Arial" w:hAnsi="Arial"/>
          <w:sz w:val="18"/>
          <w:szCs w:val="18"/>
          <w:color w:val="auto"/>
        </w:rPr>
      </w:pPr>
      <w:r>
        <w:rPr>
          <w:rFonts w:ascii="Arial" w:cs="Arial" w:eastAsia="Arial" w:hAnsi="Arial"/>
          <w:sz w:val="18"/>
          <w:szCs w:val="18"/>
          <w:color w:val="auto"/>
        </w:rPr>
        <w:t>the grantor of the security interest or any person acting as agent, trustee or nominee for the grantor; or</w:t>
      </w:r>
    </w:p>
    <w:p>
      <w:pPr>
        <w:spacing w:after="0" w:line="153" w:lineRule="exact"/>
        <w:rPr>
          <w:rFonts w:ascii="Arial" w:cs="Arial" w:eastAsia="Arial" w:hAnsi="Arial"/>
          <w:sz w:val="18"/>
          <w:szCs w:val="18"/>
          <w:color w:val="auto"/>
        </w:rPr>
      </w:pPr>
    </w:p>
    <w:p>
      <w:pPr>
        <w:jc w:val="both"/>
        <w:ind w:left="3040" w:right="459" w:hanging="655"/>
        <w:spacing w:after="0" w:line="247" w:lineRule="auto"/>
        <w:tabs>
          <w:tab w:leader="none" w:pos="3040" w:val="left"/>
        </w:tabs>
        <w:numPr>
          <w:ilvl w:val="3"/>
          <w:numId w:val="44"/>
        </w:numPr>
        <w:rPr>
          <w:rFonts w:ascii="Arial" w:cs="Arial" w:eastAsia="Arial" w:hAnsi="Arial"/>
          <w:sz w:val="18"/>
          <w:szCs w:val="18"/>
          <w:color w:val="auto"/>
        </w:rPr>
      </w:pPr>
      <w:r>
        <w:rPr>
          <w:rFonts w:ascii="Arial" w:cs="Arial" w:eastAsia="Arial" w:hAnsi="Arial"/>
          <w:sz w:val="18"/>
          <w:szCs w:val="18"/>
          <w:color w:val="auto"/>
        </w:rPr>
        <w:t>the Secured Party, as a result of the creation or perfection of the security interest, the enforcement of the security interest or the exercise by the Secured Party of any of its rights under the Security Agreement;</w:t>
      </w:r>
    </w:p>
    <w:p>
      <w:pPr>
        <w:spacing w:after="0" w:line="17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fee shall be payable in respect of the registration of any transfer of any of the Secured Shares pursuant to, or in connection with, the Security Agreement;</w:t>
      </w:r>
    </w:p>
    <w:p>
      <w:pPr>
        <w:spacing w:after="0" w:line="153"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Directors may not suspend the registration of transfers of Shares upon receiving an instrument of transfer in respect of any of the Secured Shares and any suspension in effect prior to the receipt of any such instrument of transfer shall not apply to the Secured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193" w:lineRule="exact"/>
        <w:rPr>
          <w:sz w:val="20"/>
          <w:szCs w:val="20"/>
          <w:color w:val="auto"/>
        </w:rPr>
      </w:pPr>
    </w:p>
    <w:p>
      <w:pPr>
        <w:jc w:val="both"/>
        <w:ind w:left="1740" w:right="459" w:hanging="651"/>
        <w:spacing w:after="0" w:line="247" w:lineRule="auto"/>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Secured Shares shall be exempt from any present or future lien in favour of the Company that might otherwise have arisen under these Articles and the Company shall not assert any lien against any of the Secured Shares while they remain subject to the security interest; and</w:t>
      </w:r>
    </w:p>
    <w:p>
      <w:pPr>
        <w:spacing w:after="0" w:line="173" w:lineRule="exact"/>
        <w:rPr>
          <w:rFonts w:ascii="Arial" w:cs="Arial" w:eastAsia="Arial" w:hAnsi="Arial"/>
          <w:sz w:val="18"/>
          <w:szCs w:val="18"/>
          <w:color w:val="auto"/>
        </w:rPr>
      </w:pPr>
    </w:p>
    <w:p>
      <w:pPr>
        <w:ind w:left="1740" w:hanging="651"/>
        <w:spacing w:after="0"/>
        <w:tabs>
          <w:tab w:leader="none" w:pos="17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Secured Shares may be forfeited, pursuant to the provisions of these Articles.</w:t>
      </w:r>
    </w:p>
    <w:p>
      <w:pPr>
        <w:spacing w:after="0" w:line="211" w:lineRule="exact"/>
        <w:rPr>
          <w:rFonts w:ascii="Arial" w:cs="Arial" w:eastAsia="Arial" w:hAnsi="Arial"/>
          <w:sz w:val="18"/>
          <w:szCs w:val="18"/>
          <w:color w:val="auto"/>
        </w:rPr>
      </w:pPr>
    </w:p>
    <w:p>
      <w:pPr>
        <w:ind w:left="1080" w:hanging="639"/>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certificate from an authorised signatory of a Secured Party that:</w:t>
      </w:r>
    </w:p>
    <w:p>
      <w:pPr>
        <w:spacing w:after="0" w:line="211"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transfer of any Secured Shares relates to the creation or perfection of the security interest, the enforcement of the security interest or the exercise by the Secured Party of any of its rights under the Security Agreement; or</w:t>
      </w:r>
    </w:p>
    <w:p>
      <w:pPr>
        <w:spacing w:after="0" w:line="168" w:lineRule="exact"/>
        <w:rPr>
          <w:rFonts w:ascii="Arial" w:cs="Arial" w:eastAsia="Arial" w:hAnsi="Arial"/>
          <w:sz w:val="18"/>
          <w:szCs w:val="18"/>
          <w:color w:val="auto"/>
        </w:rPr>
      </w:pPr>
    </w:p>
    <w:p>
      <w:pPr>
        <w:ind w:left="1740" w:hanging="651"/>
        <w:spacing w:after="0"/>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of the Secured Shares remains subject to the security interest,</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shall (in the absence of fraud) be conclusive evidence of that fact.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MEETINGS AND CLASS MEETINGS</w:t>
      </w:r>
    </w:p>
    <w:p>
      <w:pPr>
        <w:spacing w:after="0" w:line="212" w:lineRule="exact"/>
        <w:rPr>
          <w:sz w:val="20"/>
          <w:szCs w:val="20"/>
          <w:color w:val="auto"/>
        </w:rPr>
      </w:pPr>
    </w:p>
    <w:p>
      <w:pPr>
        <w:jc w:val="both"/>
        <w:ind w:left="1080" w:right="459" w:hanging="639"/>
        <w:spacing w:after="0" w:line="24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general meeting shall be held once in every calendar year but so long as the Company holds its first annual general meeting within eighteen months of its incorporation it need not hold it in the year of its incorporation or in the following year. All other meetings shall be called general meetings. Each general meeting shall be held at such time and such place as may be determined by the Directors.</w:t>
      </w:r>
    </w:p>
    <w:p>
      <w:pPr>
        <w:spacing w:after="0" w:line="176"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Directors may whenever they think fit, and upon a requisition made in writing by Members who together hold not less than ten percent of the total voting rights of all Members entitled to vote at an election of Directors, unless the Law prescribes a different threshold for Members to requisition a general meeting, in which case the threshold prescribed by the Law shall apply.</w:t>
      </w:r>
    </w:p>
    <w:p>
      <w:pPr>
        <w:spacing w:after="0" w:line="176"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any general meeting called pursuant to a requisition, unless such meeting is called by the Directors, no business other than that stated in the requisition as the objects of the meeting shall be transacted.</w:t>
      </w:r>
    </w:p>
    <w:p>
      <w:pPr>
        <w:spacing w:after="0" w:line="16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Save as is provided in this Article and otherwise in these Articles, all the provisions of these Articles and of the Law relating to general meetings of the Company and to the proceedings thereat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every class meeting. At any class meeting the holders of shares of the relevant class shall, on a poll, have one vote in respect of each share of that class held by each of them.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GENERAL MEETINGS</w:t>
      </w:r>
    </w:p>
    <w:p>
      <w:pPr>
        <w:spacing w:after="0" w:line="212" w:lineRule="exact"/>
        <w:rPr>
          <w:sz w:val="20"/>
          <w:szCs w:val="20"/>
          <w:color w:val="auto"/>
        </w:rPr>
      </w:pPr>
    </w:p>
    <w:p>
      <w:pPr>
        <w:jc w:val="both"/>
        <w:ind w:left="1080" w:right="459" w:hanging="639"/>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least fourteen Clear Days' notice shall be given of every general meeting including without limitation an annual general meeting and any general meeting called for the passing of a Special Resolution. Every notice shall specify the place, the day and the time of the meeting and in the case of special business, the general nature of such business and, in the case of an annual general meeting, shall specify the meeting as such. Notice of every meeting shall be given in the manner hereinafter mentioned to all the Members whose names appear in the Register on the record date specified in such notice and to the Directors and to the Auditors.</w:t>
      </w:r>
    </w:p>
    <w:p>
      <w:pPr>
        <w:spacing w:after="0" w:line="184"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 meeting of the Company shall, notwithstanding that it is called by shorter notice than that specified in Article </w:t>
      </w:r>
      <w:r>
        <w:rPr>
          <w:rFonts w:ascii="Arial" w:cs="Arial" w:eastAsia="Arial" w:hAnsi="Arial"/>
          <w:sz w:val="18"/>
          <w:szCs w:val="18"/>
          <w:u w:val="single" w:color="auto"/>
          <w:color w:val="auto"/>
        </w:rPr>
        <w:t>77</w:t>
      </w:r>
      <w:r>
        <w:rPr>
          <w:rFonts w:ascii="Arial" w:cs="Arial" w:eastAsia="Arial" w:hAnsi="Arial"/>
          <w:sz w:val="18"/>
          <w:szCs w:val="18"/>
          <w:color w:val="auto"/>
        </w:rPr>
        <w:t>, be deemed to have been duly called if it is so agreed:</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Members entitled to attend and vote thereat; and</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Members having a right to attend and vote at the meeting, being a majority together holding not less than 90 percent of the total voting rights of the Members who have that right.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193" w:lineRule="exact"/>
        <w:rPr>
          <w:sz w:val="20"/>
          <w:szCs w:val="20"/>
          <w:color w:val="auto"/>
        </w:rPr>
      </w:pPr>
    </w:p>
    <w:p>
      <w:pPr>
        <w:jc w:val="both"/>
        <w:ind w:left="1080" w:right="459" w:hanging="639"/>
        <w:spacing w:after="0" w:line="25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every notice calling a meeting of the Company there shall appear with reasonable prominence a statement that a Member entitled to attend and vote is entitled to appoint one or more proxies to attend and vote on their behalf and that a proxy need not also be a Member.</w:t>
      </w:r>
    </w:p>
    <w:p>
      <w:pPr>
        <w:spacing w:after="0" w:line="168"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shall be the duty of the Company, subject to the provisions of the Law, on the calling of a meeting on the requisition in writing of such number of Members as is specified by the Law:</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give to the Members entitled to receive notice of general meetings and to the Directors notice of any resolution which may properly be moved and which it is intended to move at that meeting; and</w:t>
      </w:r>
    </w:p>
    <w:p>
      <w:pPr>
        <w:spacing w:after="0" w:line="168"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circulate to Members entitled to have notice of any general meeting sent to them, any statement of not more than one thousand words (excluding any annexes, exhibits or schedules to such statement) with respect to the matter referred to in any proposed resolution or the business to be dealt with at that meeting.</w:t>
      </w:r>
    </w:p>
    <w:p>
      <w:pPr>
        <w:spacing w:after="0" w:line="173"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that meeting.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AT GENERAL MEETINGS</w:t>
      </w:r>
    </w:p>
    <w:p>
      <w:pPr>
        <w:spacing w:after="0" w:line="212" w:lineRule="exact"/>
        <w:rPr>
          <w:sz w:val="20"/>
          <w:szCs w:val="20"/>
          <w:color w:val="auto"/>
        </w:rPr>
      </w:pPr>
    </w:p>
    <w:p>
      <w:pPr>
        <w:jc w:val="both"/>
        <w:ind w:left="1080" w:right="459" w:hanging="639"/>
        <w:spacing w:after="0" w:line="24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business of an annual general meeting shall be to receive and consider the accounts of the Company and the reports of the Directors and Auditors, to elect Directors (if necessary), to elect Auditors and fix their remuneration, and to transact any other business of which notice has been given.</w:t>
      </w:r>
    </w:p>
    <w:p>
      <w:pPr>
        <w:spacing w:after="0" w:line="173"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except the adjournment of the meeting unless a quorum of Members entitled to vote is present at the time when the meeting proceeds to business. Such quorum shall consist of not less than two Members present in person or by proxy representing at least one-third of the voting power of all of the then outstanding shares of the Company entitled to vote at an election of Directors, but so that not less than two individuals will constitute the quorum, PROVIDED THAT, if at any time all of the issued shares in the Company are held by one Member, such quorum shall consist of the Member present in person.</w:t>
      </w:r>
    </w:p>
    <w:p>
      <w:pPr>
        <w:spacing w:after="0" w:line="180"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the meeting a quorum is not present, or if during the meeting a quorum ceases to be present, the meeting, if convened by or upon the requisition of Members, shall be dissolved. If otherwise convened the meeting shall stand adjourned to the same day in the next week at the same time and place or such day, time and place as the Directors shall determine.</w:t>
      </w:r>
    </w:p>
    <w:p>
      <w:pPr>
        <w:spacing w:after="0" w:line="176"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chair (if any) of the Directors shall preside as chair at every general meeting of the Company. If there is no such chair, or if at any meeting they are not present the Members present in person shall choose one of the Directors present to be chair, or if no Director shall be present and willing to take the chair the Members present in person shall choose one of their number to be chair.</w:t>
      </w:r>
    </w:p>
    <w:p>
      <w:pPr>
        <w:spacing w:after="0" w:line="176"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chair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thirty days or more, notice of the adjourned meeting shall be given as in the case of the original meeting. Save as aforesaid, it shall not be necessary to give any notice of any adjourned meeting or of the business to be transacted at an adjourned meeting.</w:t>
      </w:r>
    </w:p>
    <w:p>
      <w:pPr>
        <w:spacing w:after="0" w:line="184"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Minutes of all resolutions and proceedings of general meetings shall be duly and regularly entered in books kept for that purpose and shall be available for inspection by a Member during business hours without charge. A Member may require a copy of any such minutes in such manner, and upon payment of such sum as provided in the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193" w:lineRule="exact"/>
        <w:rPr>
          <w:sz w:val="20"/>
          <w:szCs w:val="20"/>
          <w:color w:val="auto"/>
        </w:rPr>
      </w:pPr>
    </w:p>
    <w:p>
      <w:pPr>
        <w:jc w:val="both"/>
        <w:ind w:left="1080" w:right="459" w:hanging="639"/>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If a Member is by any means in communication with one or more other Members so that each Member participating in the communication can hear what is said by any other of them, each Member so participating in the communication is deemed to be present in person at a meeting with the other Members so participating, notwithstanding that all the Members so participating are not present together in the same place. A meeting at which any or all of the Members participate as aforesaid shall be deemed to be a general meeting of the Company for the purposes of these Articles notwithstanding any other provisions of these Articles and all of the provisions of these Articles and of the Law relating to general meetings of the Company and to the proceedings thereat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every such meeting.</w:t>
      </w:r>
    </w:p>
    <w:p>
      <w:pPr>
        <w:spacing w:after="0" w:line="179"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Directors and the Auditors shall be entitled to receive notice of and to attend and speak at any meeting of Members.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AT GENERAL MEETINGS</w:t>
      </w:r>
    </w:p>
    <w:p>
      <w:pPr>
        <w:spacing w:after="0" w:line="212" w:lineRule="exact"/>
        <w:rPr>
          <w:sz w:val="20"/>
          <w:szCs w:val="20"/>
          <w:color w:val="auto"/>
        </w:rPr>
      </w:pPr>
    </w:p>
    <w:p>
      <w:pPr>
        <w:jc w:val="both"/>
        <w:ind w:left="1080" w:right="459" w:hanging="639"/>
        <w:spacing w:after="0" w:line="24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Save where otherwise provided in these Articles, no person shall be entitled to be present or take part in any proceedings or vote either personally or by proxy at any general meeting unless they have been registered as owner of the shares in respect of which they claim to vote.</w:t>
      </w:r>
    </w:p>
    <w:p>
      <w:pPr>
        <w:spacing w:after="0" w:line="17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the Law and save where otherwise provided in these Articles, all resolutions shall be adopted if passed as Ordinary Resolutions.</w:t>
      </w:r>
    </w:p>
    <w:p>
      <w:pPr>
        <w:spacing w:after="0" w:line="153"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any general meeting every question shall be decided in the first instance by a show of hands and, unless a poll is demanded by the chair or by any Member, a declaration by the chair that a resolution has on a show of hands been carried or not carried, or carried or not carried by a particular majority or lost, and an entry to that effect in the minutes of the meeting shall be conclusive evidence of the fact without proof of the number or proportion of the votes recorded in favour of or against such resolution.</w:t>
      </w:r>
    </w:p>
    <w:p>
      <w:pPr>
        <w:spacing w:after="0" w:line="178" w:lineRule="exact"/>
        <w:rPr>
          <w:rFonts w:ascii="Arial" w:cs="Arial" w:eastAsia="Arial" w:hAnsi="Arial"/>
          <w:sz w:val="18"/>
          <w:szCs w:val="18"/>
          <w:color w:val="auto"/>
        </w:rPr>
      </w:pPr>
    </w:p>
    <w:p>
      <w:pPr>
        <w:ind w:left="1080" w:hanging="639"/>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show of hands every Member present in person shall have one vote.</w:t>
      </w:r>
    </w:p>
    <w:p>
      <w:pPr>
        <w:spacing w:after="0" w:line="211"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poll is demanded in the manner mentioned above, it shall be taken at such time (within 21 days) and in such manner as the chair directs and the results of such poll shall be deemed to be the resolution of the Company in general meeting. A poll may be demanded upon the election of the chair and upon a question of adjournment and such poll shall be taken forthwith without adjournment. Any business other than that upon which a poll has been demanded may proceed pending the taking of the poll.</w:t>
      </w:r>
    </w:p>
    <w:p>
      <w:pPr>
        <w:spacing w:after="0" w:line="178"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any special voting powers or restrictions for the time being attached to any shares, as may be specified in the terms of issue thereof or these Articles, on a poll every Member present in person shall have one vote for each share held by them.</w:t>
      </w:r>
    </w:p>
    <w:p>
      <w:pPr>
        <w:spacing w:after="0" w:line="168"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poll a Member entitled to more than one vote need not use all their votes or cast all the votes they use in the same way.</w:t>
      </w:r>
    </w:p>
    <w:p>
      <w:pPr>
        <w:spacing w:after="0" w:line="15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Where there are joint registered holders of any share, such persons shall not have the right of voting individually in respect of such share but shall elect one of their number to represent them and to vote whether in person or by proxy in their name. In default of such election the person whose name appears first in order in the Register in respect of such share shall be the only person entitled to vote in respect thereof.</w:t>
      </w:r>
    </w:p>
    <w:p>
      <w:pPr>
        <w:spacing w:after="0" w:line="176"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Member for whom a special or general attorney is appointed or who is suffering from some other legal incapacity or interdiction in respect of whom an order has been made by any court having jurisdiction (whether in Jersey or elsewhere) in matters concerning legal incapacity or interdiction may vote, whether on a show of hands or on a poll, by their attorney, curator, or other person authorised in that behalf appointed by that court, and any such attorney, curator or other person may vote by proxy. Evidence to the satisfaction of the Directors of the authority of such attorney, curator or other person may be required by the Directors prior to any vote being exercised by such attorney, curator or other person.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spacing w:after="0" w:line="193" w:lineRule="exact"/>
        <w:rPr>
          <w:sz w:val="20"/>
          <w:szCs w:val="20"/>
          <w:color w:val="auto"/>
        </w:rPr>
      </w:pPr>
    </w:p>
    <w:p>
      <w:pPr>
        <w:jc w:val="both"/>
        <w:ind w:left="1080" w:right="459" w:hanging="639"/>
        <w:spacing w:after="0" w:line="24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 of the meeting whose decision shall be final and conclusive.</w:t>
      </w:r>
    </w:p>
    <w:p>
      <w:pPr>
        <w:spacing w:after="0" w:line="173"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Where any person is authorised under Article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to represent a body corporate at a general meeting of the Company the Directors or the chair of the meeting may require them to produce a certified copy of the resolution from which they derive their authority.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MEMBERS' RESOLUTIONS IN WRITING</w:t>
      </w:r>
    </w:p>
    <w:p>
      <w:pPr>
        <w:spacing w:after="0" w:line="212" w:lineRule="exact"/>
        <w:rPr>
          <w:sz w:val="20"/>
          <w:szCs w:val="20"/>
          <w:color w:val="auto"/>
        </w:rPr>
      </w:pPr>
    </w:p>
    <w:p>
      <w:pPr>
        <w:ind w:left="1080" w:right="459" w:hanging="639"/>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Members may not pass Ordinary Resolutions or Special Resolutions in Writing and any written resolutions of the Members shall be void and of no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PROXIES FOR GENERAL MEETINGS AND CORPORATE MEMBERS</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instrument appointing a proxy shall be in writing under the hand of the appointor or of their attorney duly authorised in writing or if the appointor is a corporation either under seal or under the hand of an officer or attorney duly authorised. A proxy need not be a Member.</w:t>
      </w:r>
    </w:p>
    <w:p>
      <w:pPr>
        <w:spacing w:after="0" w:line="16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instrument appointing a proxy and the power of attorney or other authority (if any) under which it is signed, or a copy of that power or authority certified as a true copy to the satisfaction of the Secretary, shall be deposited at the Office within such time (not exceeding a period of 48 hours which period shall not take into account any part of a day that is not a working day (as defined in the Law)) before the time for holding the meeting or adjourned meeting or for the taking of a poll at which the person named in the instrument proposes to vote as the Directors may from time to time determine.</w:t>
      </w:r>
    </w:p>
    <w:p>
      <w:pPr>
        <w:spacing w:after="0" w:line="184"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Member may, by one or more instruments specifically identifying the number (and, if applicable, the class) of shares to which it relates and otherwise complying with these Articles, appoint different proxies in respect of different shares held by such Member and who shall each have the right to attend and vote at the meeting for which they are appointed. Each such proxy shall take effect in accordance with these Articles only in respect of such specified number of shares held by such Member.</w:t>
      </w:r>
    </w:p>
    <w:p>
      <w:pPr>
        <w:spacing w:after="0" w:line="178" w:lineRule="exact"/>
        <w:rPr>
          <w:rFonts w:ascii="Arial" w:cs="Arial" w:eastAsia="Arial" w:hAnsi="Arial"/>
          <w:sz w:val="18"/>
          <w:szCs w:val="18"/>
          <w:color w:val="auto"/>
        </w:rPr>
      </w:pPr>
    </w:p>
    <w:p>
      <w:pPr>
        <w:ind w:left="1080" w:right="459" w:hanging="639"/>
        <w:spacing w:after="0" w:line="245"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instrument appointing a proxy may be in any common form or in any other form approved by the Directors including the following form:</w:t>
      </w:r>
    </w:p>
    <w:p>
      <w:pPr>
        <w:ind w:left="1080"/>
        <w:spacing w:after="0"/>
        <w:rPr>
          <w:rFonts w:ascii="Arial" w:cs="Arial" w:eastAsia="Arial" w:hAnsi="Arial"/>
          <w:sz w:val="18"/>
          <w:szCs w:val="18"/>
          <w:color w:val="auto"/>
        </w:rPr>
      </w:pPr>
      <w:r>
        <w:rPr>
          <w:rFonts w:ascii="Arial" w:cs="Arial" w:eastAsia="Arial" w:hAnsi="Arial"/>
          <w:sz w:val="18"/>
          <w:szCs w:val="18"/>
          <w:color w:val="auto"/>
        </w:rPr>
        <w:t>"AIR Global PLC</w:t>
      </w:r>
    </w:p>
    <w:p>
      <w:pPr>
        <w:spacing w:after="0" w:line="193" w:lineRule="exact"/>
        <w:rPr>
          <w:rFonts w:ascii="Arial" w:cs="Arial" w:eastAsia="Arial" w:hAnsi="Arial"/>
          <w:sz w:val="18"/>
          <w:szCs w:val="18"/>
          <w:color w:val="auto"/>
        </w:rPr>
      </w:pPr>
    </w:p>
    <w:p>
      <w:pPr>
        <w:jc w:val="both"/>
        <w:ind w:left="1080" w:right="459"/>
        <w:spacing w:after="0" w:line="244" w:lineRule="auto"/>
        <w:rPr>
          <w:rFonts w:ascii="Arial" w:cs="Arial" w:eastAsia="Arial" w:hAnsi="Arial"/>
          <w:sz w:val="18"/>
          <w:szCs w:val="18"/>
          <w:color w:val="auto"/>
        </w:rPr>
      </w:pPr>
      <w:r>
        <w:rPr>
          <w:rFonts w:ascii="Arial" w:cs="Arial" w:eastAsia="Arial" w:hAnsi="Arial"/>
          <w:sz w:val="18"/>
          <w:szCs w:val="18"/>
          <w:color w:val="auto"/>
        </w:rPr>
        <w:t>[I][We] [Name] of [Address ] being [a Member][Members] of the above named Company hereby appoint [Proxy Name] of [Proxy Address] or failing them [Proxy Name] of [Proxy Address] as [my][our] proxy to vote for [me][us] on [my][our] behalf at the annual general meeting of the Company to be held on the [Day] day of [Month] and at any adjournment thereof.</w:t>
      </w:r>
    </w:p>
    <w:p>
      <w:pPr>
        <w:spacing w:after="0" w:line="176"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Signed this [Day] day of [Month] 20[ ]"</w:t>
      </w:r>
    </w:p>
    <w:p>
      <w:pPr>
        <w:spacing w:after="0" w:line="211"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the contrary is stated thereon the instrument appointing a proxy shall be as valid as well for any adjournment of the meeting as for the meeting to which it relates.</w:t>
      </w:r>
    </w:p>
    <w:p>
      <w:pPr>
        <w:spacing w:after="0" w:line="153"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shall be valid notwithstanding the previous death or insanity of the principal or revocation of the proxy or of the authority under which the proxy was executed provided that no intimation in writing of such death, insanity or revocation shall have been received by the Company at the Office before the commencement of the meeting or adjourned meeting or the taking of the poll at which the proxy is used.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193" w:lineRule="exact"/>
        <w:rPr>
          <w:sz w:val="20"/>
          <w:szCs w:val="20"/>
          <w:color w:val="auto"/>
        </w:rPr>
      </w:pPr>
    </w:p>
    <w:p>
      <w:pPr>
        <w:jc w:val="both"/>
        <w:ind w:left="1080" w:right="459" w:hanging="639"/>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Directors may at the expense of the Company send by post or otherwise to the Members instruments of proxy (with or without provision for their return prepaid) for use at any general meeting or at any separate meeting of the holders of any class of shares of the Company either in blank or nominating in the alternative any one or more of the Directors or any other persons. If for the purpose of any meeting invitations to appoint as proxy a person or one or more of a number of persons specified in the invitations are issued at the Company's expense they shall be issued to all (and not to some only) of the Members entitled to be sent a notice of the meeting and to vote thereat by proxy.</w:t>
      </w:r>
    </w:p>
    <w:p>
      <w:pPr>
        <w:spacing w:after="0" w:line="180"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body corporate which is a Member may by resolution of its directors or other governing body authorise such person or persons as it thinks fit to act as its representative or representatives at any meeting of Members (or of any class of Members) and where the body corporate authorises:</w:t>
      </w:r>
    </w:p>
    <w:p>
      <w:pPr>
        <w:spacing w:after="0" w:line="17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only one person, that person shall be entitled to exercise on behalf of the body corporate which they represent the same powers as that body corporate could exercise if it were an individual; and</w:t>
      </w:r>
    </w:p>
    <w:p>
      <w:pPr>
        <w:spacing w:after="0" w:line="168" w:lineRule="exact"/>
        <w:rPr>
          <w:rFonts w:ascii="Arial" w:cs="Arial" w:eastAsia="Arial" w:hAnsi="Arial"/>
          <w:sz w:val="18"/>
          <w:szCs w:val="18"/>
          <w:color w:val="auto"/>
        </w:rPr>
      </w:pPr>
    </w:p>
    <w:p>
      <w:pPr>
        <w:jc w:val="both"/>
        <w:ind w:left="1740" w:right="459" w:hanging="651"/>
        <w:spacing w:after="0" w:line="247" w:lineRule="auto"/>
        <w:tabs>
          <w:tab w:leader="none" w:pos="17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more than one person, any one of them is entitled to exercise the same powers on behalf of the body corporate which they represent as that body corporate could exercise if it were an individual and where more than one of them purport to exercise such a power:</w:t>
      </w:r>
    </w:p>
    <w:p>
      <w:pPr>
        <w:spacing w:after="0" w:line="173" w:lineRule="exact"/>
        <w:rPr>
          <w:rFonts w:ascii="Arial" w:cs="Arial" w:eastAsia="Arial" w:hAnsi="Arial"/>
          <w:sz w:val="18"/>
          <w:szCs w:val="18"/>
          <w:color w:val="auto"/>
        </w:rPr>
      </w:pPr>
    </w:p>
    <w:p>
      <w:pPr>
        <w:ind w:left="2380" w:right="459" w:hanging="643"/>
        <w:spacing w:after="0" w:line="271" w:lineRule="auto"/>
        <w:tabs>
          <w:tab w:leader="none" w:pos="23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they purport to exercise the power in the same way, the power is treated as exercised in that way; and</w:t>
      </w:r>
    </w:p>
    <w:p>
      <w:pPr>
        <w:spacing w:after="0" w:line="153" w:lineRule="exact"/>
        <w:rPr>
          <w:rFonts w:ascii="Arial" w:cs="Arial" w:eastAsia="Arial" w:hAnsi="Arial"/>
          <w:sz w:val="18"/>
          <w:szCs w:val="18"/>
          <w:color w:val="auto"/>
        </w:rPr>
      </w:pPr>
    </w:p>
    <w:p>
      <w:pPr>
        <w:ind w:left="2380" w:right="459" w:hanging="643"/>
        <w:spacing w:after="0" w:line="271" w:lineRule="auto"/>
        <w:tabs>
          <w:tab w:leader="none" w:pos="23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if they do not purport to exercise the power in the same way, the power is treated as not exercised.</w:t>
      </w:r>
    </w:p>
    <w:p>
      <w:pPr>
        <w:spacing w:after="0" w:line="15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body corporate may, by one or more of such resolutions passed pursuant to Article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specifically identifying the number (and, if applicable, the class) of shares to which it relates, appoint different persons in respect of different shares held by such body corporate. Each such resolution shall take effect in accordance with Article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only in respect of such specified number of shares held by such body corporate.</w:t>
      </w:r>
    </w:p>
    <w:p>
      <w:pPr>
        <w:spacing w:after="0" w:line="176" w:lineRule="exact"/>
        <w:rPr>
          <w:sz w:val="20"/>
          <w:szCs w:val="20"/>
          <w:color w:val="auto"/>
        </w:rPr>
      </w:pPr>
    </w:p>
    <w:p>
      <w:pPr>
        <w:jc w:val="both"/>
        <w:ind w:left="1080" w:right="459"/>
        <w:spacing w:after="0"/>
        <w:rPr>
          <w:sz w:val="20"/>
          <w:szCs w:val="20"/>
          <w:color w:val="auto"/>
        </w:rPr>
      </w:pPr>
      <w:r>
        <w:rPr>
          <w:rFonts w:ascii="Arial" w:cs="Arial" w:eastAsia="Arial" w:hAnsi="Arial"/>
          <w:sz w:val="18"/>
          <w:szCs w:val="18"/>
          <w:color w:val="auto"/>
        </w:rPr>
        <w:t>110A Notwithstanding any other provision of these Articles, the Directors may utilise, or approve the utilisation of, any telephone or internet based systems or any other electronic systems as they in their absolute discretion may think fit with respect to the appointment of proxies and/or the receipt of proxy forms and/or receipt of, or processing of, voting instructions for use at any annual general meetings or any extraordinary general meetings and may, to the extent permitted by law, provide for direct voting by members at any annual general meetings or any extraordinary general meetings on such terms as they in their absolute discretion may think fit.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CLASSIFICATION, ELECTION AND REMOVAL OF DIRECTORS</w:t>
      </w:r>
    </w:p>
    <w:p>
      <w:pPr>
        <w:spacing w:after="0" w:line="212" w:lineRule="exact"/>
        <w:rPr>
          <w:sz w:val="20"/>
          <w:szCs w:val="20"/>
          <w:color w:val="auto"/>
        </w:rPr>
      </w:pPr>
    </w:p>
    <w:p>
      <w:pPr>
        <w:ind w:left="1080" w:right="459" w:hanging="639"/>
        <w:spacing w:after="0" w:line="27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otherwise expressly provided by the Law or these Articles, the business and affairs of the Company shall be managed by or under the direction of the Board of Directors.</w:t>
      </w:r>
    </w:p>
    <w:p>
      <w:pPr>
        <w:spacing w:after="0" w:line="15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Directors which shall constitute the whole Board of Directors shall be fixed exclusively by one or more resolutions adopted from time to time by the Board of Directors. So long as any Ordinary Shares are listed on a Designated Stock Exchange, the Company shall have a minimum number of Independent Directors as required pursuant to the rules of such Designated Stock Exchange.</w:t>
      </w:r>
    </w:p>
    <w:p>
      <w:pPr>
        <w:spacing w:after="0" w:line="176"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Immediately following the date of adoption of these Articles, the Board of Directors shall consist of 8 members (the “</w:t>
      </w:r>
      <w:r>
        <w:rPr>
          <w:rFonts w:ascii="Arial" w:cs="Arial" w:eastAsia="Arial" w:hAnsi="Arial"/>
          <w:sz w:val="18"/>
          <w:szCs w:val="18"/>
          <w:b w:val="1"/>
          <w:bCs w:val="1"/>
          <w:color w:val="auto"/>
        </w:rPr>
        <w:t>Initial Directors</w:t>
      </w:r>
      <w:r>
        <w:rPr>
          <w:rFonts w:ascii="Arial" w:cs="Arial" w:eastAsia="Arial" w:hAnsi="Arial"/>
          <w:sz w:val="18"/>
          <w:szCs w:val="18"/>
          <w:color w:val="auto"/>
        </w:rPr>
        <w:t>”), who shall be appointed by resolution of the Board of Directors.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193" w:lineRule="exact"/>
        <w:rPr>
          <w:sz w:val="20"/>
          <w:szCs w:val="20"/>
          <w:color w:val="auto"/>
        </w:rPr>
      </w:pPr>
    </w:p>
    <w:p>
      <w:pPr>
        <w:jc w:val="both"/>
        <w:ind w:left="1080" w:right="459" w:hanging="63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Directors shall be divided into three classes of Directors, designated as “Class I”, “Class II” and “Class III”, respectively (each a “</w:t>
      </w:r>
      <w:r>
        <w:rPr>
          <w:rFonts w:ascii="Arial" w:cs="Arial" w:eastAsia="Arial" w:hAnsi="Arial"/>
          <w:sz w:val="18"/>
          <w:szCs w:val="18"/>
          <w:b w:val="1"/>
          <w:bCs w:val="1"/>
          <w:color w:val="auto"/>
        </w:rPr>
        <w:t>Class</w:t>
      </w:r>
      <w:r>
        <w:rPr>
          <w:rFonts w:ascii="Arial" w:cs="Arial" w:eastAsia="Arial" w:hAnsi="Arial"/>
          <w:sz w:val="18"/>
          <w:szCs w:val="18"/>
          <w:color w:val="auto"/>
        </w:rPr>
        <w:t>”). Each Class shall consist, as nearly as possible, of one-third of the total number of such Directors. If the total number of Directors is not evenly divisible by three, the Board of Directors shall allocate the number of Directors among the Classes so that the difference between any two Classes does not exceed one, and may reallocate Directors among the Classes from time to time to maintain such balance following any increase or decrease in the number of Directors.</w:t>
      </w:r>
    </w:p>
    <w:p>
      <w:pPr>
        <w:spacing w:after="0" w:line="184"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Class I Directors shall serve for a term expiring at the first annual general meeting of Members following the initial registration of the Company’s Ordinary Shares pursuant to the United States Securities Exchange Act of 1934, as amended,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first annual general meeting, at which general meeting the Director shall retire from office but shall be eligible for further re-appointment.</w:t>
      </w:r>
    </w:p>
    <w:p>
      <w:pPr>
        <w:spacing w:after="0" w:line="180"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Class II Directors shall serve for a term expiring at the second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second annual general meeting, at which general meeting the Director shall retire from office but shall be eligible for further re-appointment.</w:t>
      </w:r>
    </w:p>
    <w:p>
      <w:pPr>
        <w:spacing w:after="0" w:line="184"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initial Class III Directors shall serve for a term expiring at the third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third annual general meeting, at which general meeting the Director shall retire from office but shall be eligible for further re-appointment.</w:t>
      </w:r>
    </w:p>
    <w:p>
      <w:pPr>
        <w:spacing w:after="0" w:line="184"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each succeeding annual general meeting of the Company following the third annual general meeting of the Company following such registration, Directors shall be elected to serve for a term of three years to succeed the Directors of the Class whose terms expire at such annual general meeting.</w:t>
      </w:r>
    </w:p>
    <w:p>
      <w:pPr>
        <w:spacing w:after="0" w:line="17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Without prejudice to Article </w:t>
      </w:r>
      <w:r>
        <w:rPr>
          <w:rFonts w:ascii="Arial" w:cs="Arial" w:eastAsia="Arial" w:hAnsi="Arial"/>
          <w:sz w:val="18"/>
          <w:szCs w:val="18"/>
          <w:u w:val="single" w:color="auto"/>
          <w:color w:val="auto"/>
        </w:rPr>
        <w:t>129</w:t>
      </w:r>
      <w:r>
        <w:rPr>
          <w:rFonts w:ascii="Arial" w:cs="Arial" w:eastAsia="Arial" w:hAnsi="Arial"/>
          <w:sz w:val="18"/>
          <w:szCs w:val="18"/>
          <w:color w:val="auto"/>
        </w:rPr>
        <w:t>, there shall be no maximum number of terms for which an individual may serve as a Director.</w:t>
      </w:r>
    </w:p>
    <w:p>
      <w:pPr>
        <w:spacing w:after="0" w:line="153"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the rights granted to the holders of any one or more series of Preferred Shares then outstanding, any newly-created directorship on the Board of Directors that results from an increase in the number of Directors and any vacancy occurring in the Board of Directors (whether by death, resignation, retirement, disqualification or other cause) shall be filled by a majority of the Directors then in office, even if less than a quorum, or by a sole remaining Director (and not by the Members).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w:t>
      </w:r>
    </w:p>
    <w:p>
      <w:pPr>
        <w:spacing w:after="0" w:line="18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Board of Directors is authorised to designate any newly-created directorship on the Board of Directors as Class I, Class II and Class III.</w:t>
      </w:r>
    </w:p>
    <w:p>
      <w:pPr>
        <w:spacing w:after="0" w:line="153"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Director shall hold office until his or her successor is duly elected and qualified or until his or her earlier death, resignation, disqualification, removal or retirement. If the Company, at any meeting at which a Director retires in accordance with these Articles, does not fill the office vacated by such Director, the retiring Director, if willing to act, shall be deemed to be re-elected, unless at the meeting a resolution is passed not to fill the vacancy or to elect another person in such Director’s place or unless the resolution to re-elect them is put to the meeting and lost.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193" w:lineRule="exact"/>
        <w:rPr>
          <w:sz w:val="20"/>
          <w:szCs w:val="20"/>
          <w:color w:val="auto"/>
        </w:rPr>
      </w:pPr>
    </w:p>
    <w:p>
      <w:pPr>
        <w:jc w:val="both"/>
        <w:ind w:left="1080" w:right="459" w:hanging="639"/>
        <w:spacing w:after="0" w:line="242"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each annual general meeting of Members of the Company beginning with the first annual general meeting of Members following the adoption of these Articles, subject to any special rights of the holders of one or more outstanding series of Preferred Shares to elect Directors, the successors of the Class of Directors whose term expires at that meeting shall be elected to hold office for a term expiring at the annual general meeting of Members held in the third year following the year of their election.</w:t>
      </w:r>
    </w:p>
    <w:p>
      <w:pPr>
        <w:spacing w:after="0" w:line="178" w:lineRule="exact"/>
        <w:rPr>
          <w:rFonts w:ascii="Arial" w:cs="Arial" w:eastAsia="Arial" w:hAnsi="Arial"/>
          <w:sz w:val="18"/>
          <w:szCs w:val="18"/>
          <w:color w:val="auto"/>
        </w:rPr>
      </w:pPr>
    </w:p>
    <w:p>
      <w:pPr>
        <w:ind w:left="1080" w:hanging="639"/>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decrease in the number of Directors shall shorten the term of any incumbent Director.</w:t>
      </w:r>
    </w:p>
    <w:p>
      <w:pPr>
        <w:spacing w:after="0" w:line="211"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Whenever the holders of any one or more series of Preferred Shares issued by the Company shall have the right, voting separately as a series or separately as a class with one or more such other series, to elect Directors at a general meeting of Members, the election, term of office, removal and other features of such directorships shall be governed by the terms of these Articles.</w:t>
      </w:r>
    </w:p>
    <w:p>
      <w:pPr>
        <w:spacing w:after="0" w:line="176"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these Articles, the number of directors that may be elected by the holders of any such series of Preferred Shares shall be in addition to the number fixed pursuant to Article </w:t>
      </w:r>
      <w:r>
        <w:rPr>
          <w:rFonts w:ascii="Arial" w:cs="Arial" w:eastAsia="Arial" w:hAnsi="Arial"/>
          <w:sz w:val="18"/>
          <w:szCs w:val="18"/>
          <w:u w:val="single" w:color="auto"/>
          <w:color w:val="auto"/>
        </w:rPr>
        <w:t>113</w:t>
      </w:r>
      <w:r>
        <w:rPr>
          <w:rFonts w:ascii="Arial" w:cs="Arial" w:eastAsia="Arial" w:hAnsi="Arial"/>
          <w:sz w:val="18"/>
          <w:szCs w:val="18"/>
          <w:color w:val="auto"/>
        </w:rPr>
        <w:t>, and the total number of Directors constituting the whole Board of Directors shall be automatically adjusted accordingly.</w:t>
      </w:r>
    </w:p>
    <w:p>
      <w:pPr>
        <w:spacing w:after="0" w:line="173"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in these Articles in respect of one or more series of Preferred Shares, whenever the holders of any series of Preferred Shares having such right to elect additional Directors are divested of such right pursuant to the provisions applicable to such series, the terms of office of all such additional Directors elected by the holders of such series of Preferred Shares,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authorised number of Directors of the Company shall automatically be reduced accordingly.</w:t>
      </w:r>
    </w:p>
    <w:p>
      <w:pPr>
        <w:spacing w:after="0" w:line="18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Directors of the Company need not be elected by written ballot unless these Articles so provide.</w:t>
      </w:r>
    </w:p>
    <w:p>
      <w:pPr>
        <w:spacing w:after="0" w:line="15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the special rights of the holders of one or more outstanding series of Preferred Shares to elect Directors, the office of a Director shall be vacated if the Director:</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resigns their office by Notice to the Company;</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ceases to be a Director by virtue of any provision of the Law or becomes prohibited or disqualified by Applicable Law from being a Director;</w:t>
      </w:r>
    </w:p>
    <w:p>
      <w:pPr>
        <w:spacing w:after="0" w:line="153"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their creditors generally;</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becomes of unsound mind;</w:t>
      </w:r>
    </w:p>
    <w:p>
      <w:pPr>
        <w:spacing w:after="0" w:line="211"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is removed from office by the affirmative vote of at least 66 2/3% in voting power of the then outstanding ordinary shares of the Company entitled to vote thereon as a result of:</w:t>
      </w:r>
    </w:p>
    <w:p>
      <w:pPr>
        <w:spacing w:after="0" w:line="168" w:lineRule="exact"/>
        <w:rPr>
          <w:rFonts w:ascii="Arial" w:cs="Arial" w:eastAsia="Arial" w:hAnsi="Arial"/>
          <w:sz w:val="18"/>
          <w:szCs w:val="18"/>
          <w:color w:val="auto"/>
        </w:rPr>
      </w:pPr>
    </w:p>
    <w:p>
      <w:pPr>
        <w:ind w:left="2380" w:right="459" w:hanging="643"/>
        <w:spacing w:after="0" w:line="271" w:lineRule="auto"/>
        <w:tabs>
          <w:tab w:leader="none" w:pos="238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the Director’s conviction (with a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plea deemed to be a conviction) of a serious felony involving:</w:t>
      </w:r>
    </w:p>
    <w:p>
      <w:pPr>
        <w:spacing w:after="0" w:line="153" w:lineRule="exact"/>
        <w:rPr>
          <w:rFonts w:ascii="Arial" w:cs="Arial" w:eastAsia="Arial" w:hAnsi="Arial"/>
          <w:sz w:val="18"/>
          <w:szCs w:val="18"/>
          <w:color w:val="auto"/>
        </w:rPr>
      </w:pPr>
    </w:p>
    <w:p>
      <w:pPr>
        <w:ind w:left="3040" w:hanging="655"/>
        <w:spacing w:after="0"/>
        <w:tabs>
          <w:tab w:leader="none" w:pos="3040" w:val="left"/>
        </w:tabs>
        <w:numPr>
          <w:ilvl w:val="3"/>
          <w:numId w:val="59"/>
        </w:numPr>
        <w:rPr>
          <w:rFonts w:ascii="Arial" w:cs="Arial" w:eastAsia="Arial" w:hAnsi="Arial"/>
          <w:sz w:val="18"/>
          <w:szCs w:val="18"/>
          <w:color w:val="auto"/>
        </w:rPr>
      </w:pPr>
      <w:r>
        <w:rPr>
          <w:rFonts w:ascii="Arial" w:cs="Arial" w:eastAsia="Arial" w:hAnsi="Arial"/>
          <w:sz w:val="18"/>
          <w:szCs w:val="18"/>
          <w:color w:val="auto"/>
        </w:rPr>
        <w:t>moral turpitude; or</w:t>
      </w:r>
    </w:p>
    <w:p>
      <w:pPr>
        <w:spacing w:after="0" w:line="211" w:lineRule="exact"/>
        <w:rPr>
          <w:rFonts w:ascii="Arial" w:cs="Arial" w:eastAsia="Arial" w:hAnsi="Arial"/>
          <w:sz w:val="18"/>
          <w:szCs w:val="18"/>
          <w:color w:val="auto"/>
        </w:rPr>
      </w:pPr>
    </w:p>
    <w:p>
      <w:pPr>
        <w:jc w:val="both"/>
        <w:ind w:left="3040" w:right="459" w:hanging="655"/>
        <w:spacing w:after="0" w:line="253" w:lineRule="auto"/>
        <w:tabs>
          <w:tab w:leader="none" w:pos="3040" w:val="left"/>
        </w:tabs>
        <w:numPr>
          <w:ilvl w:val="3"/>
          <w:numId w:val="59"/>
        </w:numPr>
        <w:rPr>
          <w:rFonts w:ascii="Arial" w:cs="Arial" w:eastAsia="Arial" w:hAnsi="Arial"/>
          <w:sz w:val="18"/>
          <w:szCs w:val="18"/>
          <w:color w:val="auto"/>
        </w:rPr>
      </w:pPr>
      <w:r>
        <w:rPr>
          <w:rFonts w:ascii="Arial" w:cs="Arial" w:eastAsia="Arial" w:hAnsi="Arial"/>
          <w:sz w:val="18"/>
          <w:szCs w:val="18"/>
          <w:color w:val="auto"/>
        </w:rPr>
        <w:t>a violation of United States federal or state securities laws, but specifically excluding any conviction based entirely on vicarious liability; or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193" w:lineRule="exact"/>
        <w:rPr>
          <w:sz w:val="20"/>
          <w:szCs w:val="20"/>
          <w:color w:val="auto"/>
        </w:rPr>
      </w:pPr>
    </w:p>
    <w:p>
      <w:pPr>
        <w:jc w:val="both"/>
        <w:ind w:left="2380" w:right="459" w:hanging="643"/>
        <w:spacing w:after="0"/>
        <w:tabs>
          <w:tab w:leader="none" w:pos="23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the Director’s commission of any material act of dishonesty (such as embezzlement) resulting or intended to result in material personal gain or enrichment of such Director at the expense of the Company or any of its subsidiaries and which act, if made the subject of criminal charges, would be reasonably likely to be charged as a felony, and for these purposes </w:t>
      </w:r>
      <w:r>
        <w:rPr>
          <w:rFonts w:ascii="Arial" w:cs="Arial" w:eastAsia="Arial" w:hAnsi="Arial"/>
          <w:sz w:val="18"/>
          <w:szCs w:val="18"/>
          <w:i w:val="1"/>
          <w:iCs w:val="1"/>
          <w:color w:val="auto"/>
        </w:rPr>
        <w:t>nolo</w:t>
      </w:r>
      <w:r>
        <w:rPr>
          <w:rFonts w:ascii="Arial" w:cs="Arial" w:eastAsia="Arial" w:hAnsi="Arial"/>
          <w:sz w:val="18"/>
          <w:szCs w:val="18"/>
          <w:color w:val="auto"/>
        </w:rPr>
        <w:t xml:space="preserve"> </w:t>
      </w:r>
      <w:r>
        <w:rPr>
          <w:rFonts w:ascii="Arial" w:cs="Arial" w:eastAsia="Arial" w:hAnsi="Arial"/>
          <w:sz w:val="18"/>
          <w:szCs w:val="18"/>
          <w:i w:val="1"/>
          <w:iCs w:val="1"/>
          <w:color w:val="auto"/>
        </w:rPr>
        <w:t>contendere</w:t>
      </w:r>
      <w:r>
        <w:rPr>
          <w:rFonts w:ascii="Arial" w:cs="Arial" w:eastAsia="Arial" w:hAnsi="Arial"/>
          <w:sz w:val="18"/>
          <w:szCs w:val="18"/>
          <w:color w:val="auto"/>
        </w:rPr>
        <w:t>, felony and moral turpitude shall have the meanings given to</w:t>
      </w:r>
      <w:r>
        <w:rPr>
          <w:rFonts w:ascii="Arial" w:cs="Arial" w:eastAsia="Arial" w:hAnsi="Arial"/>
          <w:sz w:val="18"/>
          <w:szCs w:val="18"/>
          <w:i w:val="1"/>
          <w:iCs w:val="1"/>
          <w:color w:val="auto"/>
        </w:rPr>
        <w:t xml:space="preserve"> </w:t>
      </w:r>
      <w:r>
        <w:rPr>
          <w:rFonts w:ascii="Arial" w:cs="Arial" w:eastAsia="Arial" w:hAnsi="Arial"/>
          <w:sz w:val="18"/>
          <w:szCs w:val="18"/>
          <w:color w:val="auto"/>
        </w:rPr>
        <w:t>them by the laws of the United States of America or any relevant state thereof and shall include any equivalent acts in any other jurisdiction.</w:t>
      </w:r>
    </w:p>
    <w:p>
      <w:pPr>
        <w:spacing w:after="0" w:line="180"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is prohibited by Applicable Law or the Designated Stock Exchange, the SEC and/or any other competent regulatory authority or otherwise under Applicable Law from being a director.</w:t>
      </w:r>
    </w:p>
    <w:p>
      <w:pPr>
        <w:spacing w:after="0" w:line="168"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Director need not be a Member but shall nevertheless be entitled to receive notice of and to attend and speak at any general meeting or at any separate meeting of the holders of any class of shares in the Company.</w:t>
      </w:r>
    </w:p>
    <w:p>
      <w:pPr>
        <w:spacing w:after="0" w:line="16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Directors shall be paid out of the funds of the Company their travelling and other expenses properly and necessarily expended by them in attending meetings of the Directors or Members or otherwise on the affairs of the Company. They shall also be paid by way of remuneration for their services as the Directors such sum as shall be determined by the Directors, subject to any limitation as the Company may by Ordinary Resolution determine and, where applicable, subject to the rules and regulations of the Designated Stock Exchange.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ALTERNATE DIRECTORS</w:t>
      </w:r>
    </w:p>
    <w:p>
      <w:pPr>
        <w:spacing w:after="0" w:line="212" w:lineRule="exact"/>
        <w:rPr>
          <w:sz w:val="20"/>
          <w:szCs w:val="20"/>
          <w:color w:val="auto"/>
        </w:rPr>
      </w:pPr>
    </w:p>
    <w:p>
      <w:pPr>
        <w:jc w:val="both"/>
        <w:ind w:left="1080" w:right="459" w:hanging="639"/>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Director (other than an alternate Director) may at their sole discretion and at any time and from time to time appoint any other Director as an alternate Director to attend and vote in their place at any meetings of Directors at which they are not personally present. Each Director shall be at liberty to appoint under this Article more than one alternate Director PROVIDED THAT only one such alternate Director may at any one time act on behalf of the Director by whom they have been appointed. Every such appointment shall be effective and the following provisions shall apply in connection therewith:</w:t>
      </w:r>
    </w:p>
    <w:p>
      <w:pPr>
        <w:spacing w:after="0" w:line="184" w:lineRule="exact"/>
        <w:rPr>
          <w:rFonts w:ascii="Arial" w:cs="Arial" w:eastAsia="Arial" w:hAnsi="Arial"/>
          <w:sz w:val="18"/>
          <w:szCs w:val="18"/>
          <w:color w:val="auto"/>
        </w:rPr>
      </w:pPr>
    </w:p>
    <w:p>
      <w:pPr>
        <w:jc w:val="both"/>
        <w:ind w:left="1740" w:right="459" w:hanging="651"/>
        <w:spacing w:after="0" w:line="244"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Director acting as alternate Director for another Director shall ipso facto vacate office in their capacity as an alternate Director if and when their appointment expires or the Director who appointed them ceases to be a Director of the Company or removes the alternate Director from office in their capacity as an alternate Director by notice under their hand served upon the Company;</w:t>
      </w:r>
    </w:p>
    <w:p>
      <w:pPr>
        <w:spacing w:after="0" w:line="176"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additional remuneration (if any) of a Director acting as alternate Director for another Director shall be payable out of the remuneration payable to the Director appointing them as may be agreed between them;</w:t>
      </w:r>
    </w:p>
    <w:p>
      <w:pPr>
        <w:spacing w:after="0" w:line="168"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Director acting as alternate Director for another Director shall be entitled to vote for such other Director as well as on their own account, but no Director shall at any meeting be entitled to act as alternate Director for more than one other Director; and</w:t>
      </w:r>
    </w:p>
    <w:p>
      <w:pPr>
        <w:spacing w:after="0" w:line="168"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Director who is also appointed an alternate Director shall be considered as two Directors for the purpose of making a quorum of Directors when such quorum shall exceed two.</w:t>
      </w:r>
    </w:p>
    <w:p>
      <w:pPr>
        <w:spacing w:after="0" w:line="168"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Director who has appointed an alternate Director is for the time being temporarily unable to act through ill health or disability the signature of the alternate Director to any resolution in writing made by the Directors shall be as effective as the signature of their appointer.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spacing w:after="0" w:line="193" w:lineRule="exact"/>
        <w:rPr>
          <w:sz w:val="20"/>
          <w:szCs w:val="20"/>
          <w:color w:val="auto"/>
        </w:rPr>
      </w:pPr>
    </w:p>
    <w:p>
      <w:pPr>
        <w:ind w:left="1080" w:right="459" w:hanging="639"/>
        <w:spacing w:after="0" w:line="271"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instrument appointing an alternate Director may be in any form approved by the Directors including the following form:</w:t>
      </w:r>
    </w:p>
    <w:p>
      <w:pPr>
        <w:spacing w:after="0" w:line="15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"AIR Global PLC</w:t>
      </w:r>
    </w:p>
    <w:p>
      <w:pPr>
        <w:spacing w:after="0" w:line="211" w:lineRule="exact"/>
        <w:rPr>
          <w:rFonts w:ascii="Arial" w:cs="Arial" w:eastAsia="Arial" w:hAnsi="Arial"/>
          <w:sz w:val="18"/>
          <w:szCs w:val="18"/>
          <w:color w:val="auto"/>
        </w:rPr>
      </w:pPr>
    </w:p>
    <w:p>
      <w:pPr>
        <w:jc w:val="both"/>
        <w:ind w:left="1080" w:right="459"/>
        <w:spacing w:after="0" w:line="242" w:lineRule="auto"/>
        <w:rPr>
          <w:rFonts w:ascii="Arial" w:cs="Arial" w:eastAsia="Arial" w:hAnsi="Arial"/>
          <w:sz w:val="18"/>
          <w:szCs w:val="18"/>
          <w:color w:val="auto"/>
        </w:rPr>
      </w:pPr>
      <w:r>
        <w:rPr>
          <w:rFonts w:ascii="Arial" w:cs="Arial" w:eastAsia="Arial" w:hAnsi="Arial"/>
          <w:sz w:val="18"/>
          <w:szCs w:val="18"/>
          <w:color w:val="auto"/>
        </w:rPr>
        <w:t>I, [Director Name] a Director of the above named Company, in pursuance of the power in that behalf contained in the Articles of Association of the Company, do hereby nominate and appoint [Name] of [Address] to act as alternate Director in my place [at the meeting of the Directors to be held on the [Day] day of [Month] and at any adjournment thereof which I am unable to attend][until revoked by notice by me] and to exercise all my duties as a Director of the Company [at such meeting][until further notice].</w:t>
      </w:r>
    </w:p>
    <w:p>
      <w:pPr>
        <w:spacing w:after="0" w:line="178"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Signed this [Day] day of [Month] 20[ ]"</w:t>
      </w:r>
    </w:p>
    <w:p>
      <w:pPr>
        <w:spacing w:after="0" w:line="211"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Save as otherwise provided in Article </w:t>
      </w:r>
      <w:r>
        <w:rPr>
          <w:rFonts w:ascii="Arial" w:cs="Arial" w:eastAsia="Arial" w:hAnsi="Arial"/>
          <w:sz w:val="18"/>
          <w:szCs w:val="18"/>
          <w:u w:val="single" w:color="auto"/>
          <w:color w:val="auto"/>
        </w:rPr>
        <w:t>137</w:t>
      </w:r>
      <w:r>
        <w:rPr>
          <w:rFonts w:ascii="Arial" w:cs="Arial" w:eastAsia="Arial" w:hAnsi="Arial"/>
          <w:sz w:val="18"/>
          <w:szCs w:val="18"/>
          <w:color w:val="auto"/>
        </w:rPr>
        <w:t>, any appointment or removal of an alternate Director shall be by notice signed by the Director making or revoking the appointment and shall take effect when lodged at the Office or otherwise notified to the Company in such manner as is approved by the Directors.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DIRECTORS</w:t>
      </w:r>
    </w:p>
    <w:p>
      <w:pPr>
        <w:spacing w:after="0" w:line="212" w:lineRule="exact"/>
        <w:rPr>
          <w:sz w:val="20"/>
          <w:szCs w:val="20"/>
          <w:color w:val="auto"/>
        </w:rPr>
      </w:pPr>
    </w:p>
    <w:p>
      <w:pPr>
        <w:jc w:val="both"/>
        <w:ind w:left="1080" w:right="459" w:hanging="639"/>
        <w:spacing w:after="0" w:line="242"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Directors may from time to time appoint one or more of their number to be the holder of any executive office on such terms and for such periods as they may determine. The appointment of any Director to any executive office shall be subject to termination if they cease to be a Director, but without prejudice to any claim for damages for breach of any contract of service between them and the Company. Upon any such appointment, such Director holding an executive office shall be ineligible to qualify as an Independent Director.</w:t>
      </w:r>
    </w:p>
    <w:p>
      <w:pPr>
        <w:spacing w:after="0" w:line="178"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Directors may entrust to and confer upon a Director holding any executive office any of the powers exercisable by the Directors, upon such terms and conditions and with such restrictions as they think fit, and either collaterally with or to the exclusion of their own powers and may from time to time revoke, withdraw, alter or vary all or any of such powers.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POWERS OF DIRECTORS</w:t>
      </w:r>
    </w:p>
    <w:p>
      <w:pPr>
        <w:spacing w:after="0" w:line="212" w:lineRule="exact"/>
        <w:rPr>
          <w:sz w:val="20"/>
          <w:szCs w:val="20"/>
          <w:color w:val="auto"/>
        </w:rPr>
      </w:pPr>
    </w:p>
    <w:p>
      <w:pPr>
        <w:jc w:val="both"/>
        <w:ind w:left="1080" w:right="459" w:hanging="639"/>
        <w:spacing w:after="0" w:line="239"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business of the Company shall be managed by the Directors who may exercise all such powers of the Company as are not by the Law or these Articles required to be exercised by the Company in general meeting, and the power and authority to represent the Company in all transactions relating to real and personal property and all other legal or judicial transactions, acts and matters and before all courts of law shall be vested in the Directors. The Directors' powers shall be subject to any regulations of these Articles, to the provisions of the Law and to such regulations, being not inconsistent with the aforesaid regulations or provisions, as may be prescribed by the Company in general meeting, but no regulations made by the Company in general meeting shall invalidate any prior act of the Directors which would have been valid if such regulations had not been made.</w:t>
      </w:r>
    </w:p>
    <w:p>
      <w:pPr>
        <w:spacing w:after="0" w:line="179"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Directors may, by power of attorney, mandate or otherwise, appoint any person to be the agent of the Company for such purposes and on such conditions as they determine, including authority for the agent to delegate all or any of their powers.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DIRECTORS</w:t>
      </w:r>
    </w:p>
    <w:p>
      <w:pPr>
        <w:spacing w:after="0" w:line="212" w:lineRule="exact"/>
        <w:rPr>
          <w:sz w:val="20"/>
          <w:szCs w:val="20"/>
          <w:color w:val="auto"/>
        </w:rPr>
      </w:pPr>
    </w:p>
    <w:p>
      <w:pPr>
        <w:jc w:val="both"/>
        <w:ind w:left="1080" w:right="459" w:hanging="639"/>
        <w:spacing w:after="0" w:line="24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the office of auditor) in conjunction with their office of Director and may act in a professional capacity to the Company on such terms as to tenure of office, remuneration and otherwise as the Directors may determine, provided that such Director holding such other office or place of profit under the Company shall be ineligible to qualify as an Independent Director.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3" w:name="page44"/>
    <w:bookmarkEnd w:id="43"/>
    <w:p>
      <w:pPr>
        <w:spacing w:after="0" w:line="193" w:lineRule="exact"/>
        <w:rPr>
          <w:sz w:val="20"/>
          <w:szCs w:val="20"/>
          <w:color w:val="auto"/>
        </w:rPr>
      </w:pPr>
    </w:p>
    <w:p>
      <w:pPr>
        <w:jc w:val="both"/>
        <w:ind w:left="1080" w:right="459" w:hanging="63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Law, the rules and regulations of the Designated Stock Exchange, the SEC and/or any other competent regulatory authority or otherwise under Applicable Law, and provided that they have disclosed to the Directors the nature and extent of any of their interests which conflict or may conflict to a material extent with the interests of the Company at the first meeting of the Directors at which a transaction is considered or as soon as practical after that meeting by notice in writing to the Secretary or has otherwise previously disclosed that they are to be regarded as interested in a transaction with a specific person, a Director notwithstanding their office:</w:t>
      </w:r>
    </w:p>
    <w:p>
      <w:pPr>
        <w:spacing w:after="0" w:line="180"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may be a party to, or otherwise interested in, any transaction or arrangement with the Company or in which the Company is otherwise interested;</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is otherwise interested; and</w:t>
      </w:r>
    </w:p>
    <w:p>
      <w:pPr>
        <w:spacing w:after="0" w:line="168" w:lineRule="exact"/>
        <w:rPr>
          <w:rFonts w:ascii="Arial" w:cs="Arial" w:eastAsia="Arial" w:hAnsi="Arial"/>
          <w:sz w:val="18"/>
          <w:szCs w:val="18"/>
          <w:color w:val="auto"/>
        </w:rPr>
      </w:pPr>
    </w:p>
    <w:p>
      <w:pPr>
        <w:jc w:val="both"/>
        <w:ind w:left="1740" w:right="459" w:hanging="651"/>
        <w:spacing w:after="0" w:line="244" w:lineRule="auto"/>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shall not, by reason of their office, be accountable to the Company for any benefit which they derive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176" w:lineRule="exact"/>
        <w:rPr>
          <w:rFonts w:ascii="Arial" w:cs="Arial" w:eastAsia="Arial" w:hAnsi="Arial"/>
          <w:sz w:val="18"/>
          <w:szCs w:val="18"/>
          <w:color w:val="auto"/>
        </w:rPr>
      </w:pPr>
    </w:p>
    <w:p>
      <w:pPr>
        <w:ind w:left="1080" w:hanging="639"/>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For the purposes of Article </w:t>
      </w:r>
      <w:r>
        <w:rPr>
          <w:rFonts w:ascii="Arial" w:cs="Arial" w:eastAsia="Arial" w:hAnsi="Arial"/>
          <w:sz w:val="18"/>
          <w:szCs w:val="18"/>
          <w:u w:val="single" w:color="auto"/>
          <w:color w:val="auto"/>
        </w:rPr>
        <w:t>141</w:t>
      </w:r>
      <w:r>
        <w:rPr>
          <w:rFonts w:ascii="Arial" w:cs="Arial" w:eastAsia="Arial" w:hAnsi="Arial"/>
          <w:sz w:val="18"/>
          <w:szCs w:val="18"/>
          <w:color w:val="auto"/>
        </w:rPr>
        <w:t xml:space="preserve"> above:</w:t>
      </w:r>
    </w:p>
    <w:p>
      <w:pPr>
        <w:spacing w:after="0" w:line="211" w:lineRule="exact"/>
        <w:rPr>
          <w:rFonts w:ascii="Arial" w:cs="Arial" w:eastAsia="Arial" w:hAnsi="Arial"/>
          <w:sz w:val="18"/>
          <w:szCs w:val="18"/>
          <w:color w:val="auto"/>
        </w:rPr>
      </w:pPr>
    </w:p>
    <w:p>
      <w:pPr>
        <w:jc w:val="both"/>
        <w:ind w:left="1740" w:right="459" w:hanging="651"/>
        <w:spacing w:after="0" w:line="244" w:lineRule="auto"/>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general notice given to the Directors or Secretary in the manner there specified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 and</w:t>
      </w:r>
    </w:p>
    <w:p>
      <w:pPr>
        <w:spacing w:after="0" w:line="176"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them to have knowledge shall not be treated as an interest of that Director.</w:t>
      </w:r>
    </w:p>
    <w:p>
      <w:pPr>
        <w:spacing w:after="0" w:line="15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Where disclosure of an interest is made to the Secretary in accordance with Article </w:t>
      </w:r>
      <w:r>
        <w:rPr>
          <w:rFonts w:ascii="Arial" w:cs="Arial" w:eastAsia="Arial" w:hAnsi="Arial"/>
          <w:sz w:val="18"/>
          <w:szCs w:val="18"/>
          <w:u w:val="single" w:color="auto"/>
          <w:color w:val="auto"/>
        </w:rPr>
        <w:t>141</w:t>
      </w:r>
      <w:r>
        <w:rPr>
          <w:rFonts w:ascii="Arial" w:cs="Arial" w:eastAsia="Arial" w:hAnsi="Arial"/>
          <w:sz w:val="18"/>
          <w:szCs w:val="18"/>
          <w:color w:val="auto"/>
        </w:rPr>
        <w:t xml:space="preserve"> the Secretary shall inform the Directors that it has been made and table the notice of the disclosure at the next meeting of the Directors. Any disclosure at a meeting of the Directors shall be recorded in the minutes of the meeting.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OF DIRECTORS</w:t>
      </w:r>
    </w:p>
    <w:p>
      <w:pPr>
        <w:spacing w:after="0" w:line="212" w:lineRule="exact"/>
        <w:rPr>
          <w:sz w:val="20"/>
          <w:szCs w:val="20"/>
          <w:color w:val="auto"/>
        </w:rPr>
      </w:pPr>
    </w:p>
    <w:p>
      <w:pPr>
        <w:jc w:val="both"/>
        <w:ind w:left="1080" w:right="459" w:hanging="639"/>
        <w:spacing w:after="0" w:line="23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Directors may meet together for the dispatch of business, adjourn and otherwise regulate their meetings as they think fit. Questions arising at any meeting shall be determined by a majority of votes. In case of an equality of votes the chair shall not have a second or casting vote. A Director who is also an alternate Director shall be entitled, in the absence of the Director whom they are representing, to a separate vote on behalf of such Director in addition to their own vote. A Director may, and the Secretary on the requisition of a Director shall, at any time, summon a meeting of the Directors by giving to each Director and alternate Director not less than 24 hours' notice of the meeting PROVIDED THAT any meeting may be convened at shorter notice and in such manner as each Director or their alternate Director shall approve, PROVIDED FURTHER THAT, unless otherwise resolved by the Directors, notices of Directors' meetings need not be in writing.</w:t>
      </w:r>
    </w:p>
    <w:p>
      <w:pPr>
        <w:spacing w:after="0" w:line="185"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meeting of the Directors at which a quorum is present shall be competent to exercise all powers and discretions for the time being exercisable by the Directors. The quorum necessary for the transaction of the business of the Directors may be fixed by the Directors, and unless so fixed at any other number shall be two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193" w:lineRule="exact"/>
        <w:rPr>
          <w:sz w:val="20"/>
          <w:szCs w:val="20"/>
          <w:color w:val="auto"/>
        </w:rPr>
      </w:pPr>
    </w:p>
    <w:p>
      <w:pPr>
        <w:jc w:val="both"/>
        <w:ind w:left="1080" w:right="459" w:hanging="639"/>
        <w:spacing w:after="0" w:line="24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Director, notwithstanding their interest, may be counted in the quorum present at any meeting at which they are appointed to hold any office or place of profit under the Company, or at which the terms of their appointment are arranged, but they may not vote on their own appointment or the terms thereof.</w:t>
      </w:r>
    </w:p>
    <w:p>
      <w:pPr>
        <w:spacing w:after="0" w:line="17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Director, notwithstanding their interest, may be counted in the quorum present at any meeting at which any contract or arrangement in which they are interested is considered and, subject to the provisions of Article </w:t>
      </w:r>
      <w:r>
        <w:rPr>
          <w:rFonts w:ascii="Arial" w:cs="Arial" w:eastAsia="Arial" w:hAnsi="Arial"/>
          <w:sz w:val="18"/>
          <w:szCs w:val="18"/>
          <w:u w:val="single" w:color="auto"/>
          <w:color w:val="auto"/>
        </w:rPr>
        <w:t>141</w:t>
      </w:r>
      <w:r>
        <w:rPr>
          <w:rFonts w:ascii="Arial" w:cs="Arial" w:eastAsia="Arial" w:hAnsi="Arial"/>
          <w:sz w:val="18"/>
          <w:szCs w:val="18"/>
          <w:color w:val="auto"/>
        </w:rPr>
        <w:t xml:space="preserve"> they may vote in respect of any such contract or arrangement.</w:t>
      </w:r>
    </w:p>
    <w:p>
      <w:pPr>
        <w:spacing w:after="0" w:line="17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vacancies in their number, but, if the number of Directors is less than the number fixed as the quorum, the continuing Directors or Director may act only for the purpose of filling vacancies or of calling a general meeting of the Company. This Article shall not apply at any time that a Sole Directorship Resolution is in effect.</w:t>
      </w:r>
    </w:p>
    <w:p>
      <w:pPr>
        <w:spacing w:after="0" w:line="176"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if there are no Directors or no Director is able or willing to act, then any Member or the Secretary may summon a general meeting for the purpose of appointing Directors, and the Members shall have the right to appoint Directors at such meeting by Ordinary Resolution.</w:t>
      </w:r>
    </w:p>
    <w:p>
      <w:pPr>
        <w:spacing w:after="0" w:line="173"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Directors may from time to time elect from their number, and remove, a chair and/or deputy chair and/or vice-chair and determine the period for which they are to hold office. The chair, or in their absence the deputy chair, or in their absence, the vice-chair, shall preside at all meetings of the Directors, but if no such chair, deputy chair or vice-chair be elected, or if at any meeting the chair, the deputy chair and vice-chair be not present within five minutes after the time appointed for holding the same, the Directors present may choose one of their number to be the chair of the meeting.</w:t>
      </w:r>
    </w:p>
    <w:p>
      <w:pPr>
        <w:spacing w:after="0" w:line="184"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Directors may delegate any of their powers to committees consisting of such Directors or Director or such other persons as they think fit, subject to the rules and regulations of the Designated Stock Exchange and the SEC (including, as applicable, in respect of requirements regarding Independent Director composition) and/or any other competent regulatory authority or otherwise under Applicable Law. Any committee so formed shall in the exercise of the powers so delegated conform to any regulations that may be imposed on it by the Directors, the rules and regulations of the Designated Stock Exchange, the SEC and/or any other competent regulatory authority or otherwise under Applicable Law. The meetings and proceedings of any such committee consisting of two or more persons shall be governed by the provisions of these Articles regulating the meetings and proceedings of the Directors, so far as the same are applicable and are not superseded by any regulations made by the Directors under this Article, the rules and regulations of the Designated Stock Exchange, the SEC and/or any other competent regulatory authority or otherwise under Applicable Law.</w:t>
      </w:r>
    </w:p>
    <w:p>
      <w:pPr>
        <w:spacing w:after="0" w:line="180"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 Director is by any means in communication with one or more other Directors so that each Director participating in the communication can hear what is said by any other of them, each Director so participating in the communication is deemed to be present at a meeting with the other Directors so participating, notwithstanding that all the Directors so participating are not present together in the same place. The place of any such meeting shall be recorded as the place at which the chair is present, unless the Directors otherwise determine.</w:t>
      </w:r>
    </w:p>
    <w:p>
      <w:pPr>
        <w:spacing w:after="0" w:line="17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acts done bona fide by any meeting of Directors or of a committee appointed by the Directors or by any person acting as a Director shall, notwithstanding that it is afterwards discovered that there was some defect in the appointment of any such Director or committee or person acting as aforesaid, or that they or any of them were disqualified or had vacated office or were not entitled to vote, be as valid as if every such person had been duly appointed and was qualified and had continued to be a Director or a Member of a committee appointed by the Directors and had been entitled to vote.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RESOLUTIONS IN WRITING</w:t>
      </w:r>
    </w:p>
    <w:p>
      <w:pPr>
        <w:spacing w:after="0" w:line="212" w:lineRule="exact"/>
        <w:rPr>
          <w:sz w:val="20"/>
          <w:szCs w:val="20"/>
          <w:color w:val="auto"/>
        </w:rPr>
      </w:pPr>
    </w:p>
    <w:p>
      <w:pPr>
        <w:jc w:val="both"/>
        <w:ind w:left="1080" w:right="459" w:hanging="639"/>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resolution in writing of which notice has been given (which notice need not be in writing) to all of the Directors or to all of the members of a committee appointed pursuant to Article </w:t>
      </w:r>
      <w:r>
        <w:rPr>
          <w:rFonts w:ascii="Arial" w:cs="Arial" w:eastAsia="Arial" w:hAnsi="Arial"/>
          <w:sz w:val="18"/>
          <w:szCs w:val="18"/>
          <w:u w:val="single" w:color="auto"/>
          <w:color w:val="auto"/>
        </w:rPr>
        <w:t>151</w:t>
      </w:r>
      <w:r>
        <w:rPr>
          <w:rFonts w:ascii="Arial" w:cs="Arial" w:eastAsia="Arial" w:hAnsi="Arial"/>
          <w:sz w:val="18"/>
          <w:szCs w:val="18"/>
          <w:color w:val="auto"/>
        </w:rPr>
        <w:t xml:space="preserve"> (as the case may be), if signed by a majority of the Directors or of the members of such committee (as the case may be), shall be valid and effectual as if it had been passed at a meeting of the Directors or of the relevant committee duly convened and held and may consist of two or more documents in like form each signed by one or more of the Directors or members of the relevant committee.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MINUTE BOOK</w:t>
      </w:r>
    </w:p>
    <w:p>
      <w:pPr>
        <w:spacing w:after="0" w:line="212" w:lineRule="exact"/>
        <w:rPr>
          <w:sz w:val="20"/>
          <w:szCs w:val="20"/>
          <w:color w:val="auto"/>
        </w:rPr>
      </w:pPr>
    </w:p>
    <w:p>
      <w:pPr>
        <w:jc w:val="both"/>
        <w:ind w:left="1080" w:right="459" w:hanging="639"/>
        <w:spacing w:after="0" w:line="244"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Directors shall cause the minutes of proceedings at all general meetings of the Company or of the holders of any class of the Company's shares and of the Directors and of committees appointed by the Directors to be entered in books kept for the purpose. Any minutes of a meeting, if purporting to be signed by the chair of the meeting or by the chair of the next succeeding meeting, shall be evidence of the proceedings.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CAPITALISATION</w:t>
      </w:r>
    </w:p>
    <w:p>
      <w:pPr>
        <w:spacing w:after="0" w:line="212" w:lineRule="exact"/>
        <w:rPr>
          <w:sz w:val="20"/>
          <w:szCs w:val="20"/>
          <w:color w:val="auto"/>
        </w:rPr>
      </w:pPr>
    </w:p>
    <w:p>
      <w:pPr>
        <w:jc w:val="both"/>
        <w:ind w:left="1080" w:right="459" w:hanging="639"/>
        <w:spacing w:after="0" w:line="23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may, upon the recommendation of the Directors, resolve that it is desirable to capitalise any undistributed profits of the Company (including profits carried and standing to any reserve or reserves) not required for paying the fixed dividends on any shares entitled to fixed preferential dividends with or without further participation in profits, or any sum carried to reserve as a result of the sale or revaluation of the assets of the Company (other than goodwill) or any part thereof or, subject as hereinafter provided, any sum standing to the credit of the Company's share premium account or capital redemption reserve fund and accordingly that the Directors be authorised and directed to appropriate the amount resolved to be capitalised to the Members in the proportion in which such amount would have been divisible amongst them had the same been applicable and had been applied in paying dividends and to apply such amount on their behalf, either in or towards paying up the amounts, if any, for the time being unpaid on any shares held by such Members respectively or in paying up in full at par or at a discount or at such premium as the said resolution may provide, any unissued shares or debentures of the Company, such shares or debentures to be allotted and distributed, credited as fully paid up, to and amongst such Members in the proportions aforesaid, or partly in one way and partly in the other PROVIDED THAT the share premium account and the capital redemption reserve fund and any unrealised profits may not be applied in the paying up of any debentures of the Company.</w:t>
      </w:r>
    </w:p>
    <w:p>
      <w:pPr>
        <w:spacing w:after="0" w:line="181"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Whenever such a resolution as aforesaid shall have been passed, the Directors shall make all appropriations and applications of the amount resolved to be capitalised thereby, and all allotments and issues of fully paid shares or debentures, if any, and generally shall do all acts and things required to give effect thereto, with full power to the Directors to make such provision by the issue of certificates representing part of a shareholding or fractions of shares or by payments in cash or otherwise as they think fit in the case of shares or debentures becoming distributable in fractions, and also to authorise any person to enter on behalf of all the Members entitled to the benefit of such appropriations and applications into an agreement with the Company providing for the allotment to them respectively, credited as fully paid up, of any further shares or debentures to which they may be entitled upon such capitalisation, and any agreement made under such authority shall be effective and binding on all such Members.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SECRETARY</w:t>
      </w:r>
    </w:p>
    <w:p>
      <w:pPr>
        <w:spacing w:after="0" w:line="212" w:lineRule="exact"/>
        <w:rPr>
          <w:sz w:val="20"/>
          <w:szCs w:val="20"/>
          <w:color w:val="auto"/>
        </w:rPr>
      </w:pPr>
    </w:p>
    <w:p>
      <w:pPr>
        <w:jc w:val="both"/>
        <w:ind w:left="1080" w:right="459" w:hanging="639"/>
        <w:spacing w:after="0" w:line="23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Secretary shall be appointed by the Directors and any secretary so appointed may be removed by the Directors. Anything required or authorised to be done by or to the Secretary may, if the office is vacant or there is for any other reason no secretary capable of acting, be done by or to any assistant or deputy secretary or if there is no assistant or deputy secretary capable of acting, by or to any officer of the Company authorised generally or specially in that behalf by the Directors PROVIDED THAT any provisions of these Articles requiring or authorising a thing to be done by or to a Director and the Secretary shall not be satisfied by its being done by or to the same person acting both as Director and as, or in place of, the Secretary. The Company shall keep or cause to be kept at the Office a register of particulars with regard to its Secretary in the manner required by the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INSTRUMENTS, SEALS AND AUTHENTICATION OF DOCUMENTS</w:t>
      </w:r>
    </w:p>
    <w:p>
      <w:pPr>
        <w:spacing w:after="0" w:line="212" w:lineRule="exact"/>
        <w:rPr>
          <w:sz w:val="20"/>
          <w:szCs w:val="20"/>
          <w:color w:val="auto"/>
        </w:rPr>
      </w:pPr>
    </w:p>
    <w:p>
      <w:pPr>
        <w:jc w:val="both"/>
        <w:ind w:left="1080" w:right="459" w:hanging="639"/>
        <w:spacing w:after="0" w:line="242"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may have a common seal and may in accordance with the Law have an official seal for use outside of Jersey and an official seal for sealing securities issued by the Company or for sealing documents creating or evidencing securities so issued. The Directors shall provide for the safe custody of all seals. No seal of the Company shall be used except by the authority of a resolution of the Directors or of a committee of the Directors authorised in that behalf by the Directors.</w:t>
      </w:r>
    </w:p>
    <w:p>
      <w:pPr>
        <w:spacing w:after="0" w:line="178" w:lineRule="exact"/>
        <w:rPr>
          <w:rFonts w:ascii="Arial" w:cs="Arial" w:eastAsia="Arial" w:hAnsi="Arial"/>
          <w:sz w:val="18"/>
          <w:szCs w:val="18"/>
          <w:color w:val="auto"/>
        </w:rPr>
      </w:pPr>
    </w:p>
    <w:p>
      <w:pPr>
        <w:jc w:val="both"/>
        <w:ind w:left="1080" w:right="459" w:hanging="639"/>
        <w:spacing w:after="0" w:line="242"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Directors may by resolution, authorise a person or persons to witness the affixing of the Company's common seal to any Written Instrument to which the Company is a party. In the absence of an express authorisation, either generally or with respect to a specific Written Instrument, any two Directors or a Director and the Secretary are authorised to witness the affixing of the Company's common seal to any Written Instrument to which the affixing of the common seal has been approved by the Directors.</w:t>
      </w:r>
    </w:p>
    <w:p>
      <w:pPr>
        <w:spacing w:after="0" w:line="17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Written Instruments to which the Company's common seal is not to be affixed may be signed on behalf of the Company by such person or persons as the Directors may from time to time by resolution authorise. In the absence of an express authorisation, either generally or with respect to a specific Written Instrument, any one Director is authorised to sign any Written Instrument on behalf of the Company.</w:t>
      </w:r>
    </w:p>
    <w:p>
      <w:pPr>
        <w:spacing w:after="0" w:line="176"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Director or the Secretary or any person appointed by the Directors for the purpose shall have power to authenticate any documents affecting the constitution of the Company (including the Memorandum of Association and these Articles) and any resolutions passed by the Company or the Directors and any books, records, documents and accounts relating to the business of the Company, and to certify copies thereof or extracts therefrom as true copies or extracts; and where books, records, documents or accounts are elsewhere than at the Office, the local manager or other officer of the Company having the custody thereof shall be deemed to be a person appointed by the Directors as aforesaid.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provisions of the Law, the Company may by resolution declare dividends in accordance with the respective rights of the Members, but no dividend shall exceed the amount recommended by the Directors.</w:t>
      </w:r>
    </w:p>
    <w:p>
      <w:pPr>
        <w:spacing w:after="0" w:line="168"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Subject to any particular rights or limitations as to dividend for the time being attached to any shares, as may be specified in these Articles or upon which such shares may be issued, all dividends shall be declared, apportioned and paid </w:t>
      </w:r>
      <w:r>
        <w:rPr>
          <w:rFonts w:ascii="Arial" w:cs="Arial" w:eastAsia="Arial" w:hAnsi="Arial"/>
          <w:sz w:val="18"/>
          <w:szCs w:val="18"/>
          <w:i w:val="1"/>
          <w:iCs w:val="1"/>
          <w:color w:val="auto"/>
        </w:rPr>
        <w:t>pro-rata</w:t>
      </w:r>
      <w:r>
        <w:rPr>
          <w:rFonts w:ascii="Arial" w:cs="Arial" w:eastAsia="Arial" w:hAnsi="Arial"/>
          <w:sz w:val="18"/>
          <w:szCs w:val="18"/>
          <w:color w:val="auto"/>
        </w:rPr>
        <w:t xml:space="preserve"> according to the amounts paid up on the shares (otherwise than in advance of calls) during any portion or portions of the period in respect of which the dividend is paid.</w:t>
      </w:r>
    </w:p>
    <w:p>
      <w:pPr>
        <w:spacing w:after="0" w:line="176"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Subject to the provisions of the Law, the Directors may, if they think fit, from time to time pay to the Members such interim dividends as appear to the Directors to be justified.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spacing w:after="0" w:line="193" w:lineRule="exact"/>
        <w:rPr>
          <w:sz w:val="20"/>
          <w:szCs w:val="20"/>
          <w:color w:val="auto"/>
        </w:rPr>
      </w:pPr>
    </w:p>
    <w:p>
      <w:pPr>
        <w:jc w:val="both"/>
        <w:ind w:left="1080" w:right="459" w:hanging="639"/>
        <w:spacing w:after="0" w:line="23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the Directors may pay interim dividends in respect of those shares in the capital of the Company which confer on the holders thereof deferred or non-preferred rights, as well as in respect of those shares which confer on the holders thereof preferential rights with regard to dividend. The Directors may also pay half-yearly, or at other suitable intervals to be settled by them, any dividend which may be payable at a fixed rate if they are of the opinion that the profits of the Company justify the payment. Provided the Directors act bona fide they shall not incur any personal liability to the holders of shares conferring a preference for any damage that they may suffer by reason of the payment of an interim dividend on any shares having deferred or non-preferred rights.</w:t>
      </w:r>
    </w:p>
    <w:p>
      <w:pPr>
        <w:spacing w:after="0" w:line="179"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may deduct from any dividend or other monies payable to any Member on or in respect of a share all sums of money (if any) presently payable by them to the Company on account of calls or otherwise in relation to the shares of the Company.</w:t>
      </w:r>
    </w:p>
    <w:p>
      <w:pPr>
        <w:spacing w:after="0" w:line="168" w:lineRule="exact"/>
        <w:rPr>
          <w:rFonts w:ascii="Arial" w:cs="Arial" w:eastAsia="Arial" w:hAnsi="Arial"/>
          <w:sz w:val="18"/>
          <w:szCs w:val="18"/>
          <w:color w:val="auto"/>
        </w:rPr>
      </w:pPr>
    </w:p>
    <w:p>
      <w:pPr>
        <w:jc w:val="both"/>
        <w:ind w:left="1080" w:right="459" w:hanging="639"/>
        <w:spacing w:after="0" w:line="271"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unclaimed dividends may be invested or otherwise made use of by the Directors for the benefit of the Company until claimed. No dividend shall bear interest as against the Company.</w:t>
      </w:r>
    </w:p>
    <w:p>
      <w:pPr>
        <w:spacing w:after="0" w:line="153"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dividend which has remained unclaimed for a period of ten years from the date of declaration thereof shall, if the Directors so resolve, be forfeited and cease to remain owing by the Company and shall thenceforth belong to the Company absolutely.</w:t>
      </w:r>
    </w:p>
    <w:p>
      <w:pPr>
        <w:spacing w:after="0" w:line="168"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dividend or other monies payable on or in respect of a share may be paid by cheque or warrant sent through the post to the registered address of the Member or person entitled thereto, and in the case of joint holders to any one of such joint holders, or to such person and to such address as the holder or joint holders may in writing direct. Every such cheque or warrant shall be made payable to the order of the person to whom it is sent or to such other person as the holder or joint holders may in writing direct, and payment of the cheque or warrant shall be a good discharge to the Company. Every such cheque or warrant shall be sent at the risk of the person entitled to the money represented thereby. Notwithstanding the foregoing, dividends may also be paid electronically to the account of the Members or persons entitled thereto or in such other manner approved by the Directors.</w:t>
      </w:r>
    </w:p>
    <w:p>
      <w:pPr>
        <w:spacing w:after="0" w:line="179" w:lineRule="exact"/>
        <w:rPr>
          <w:rFonts w:ascii="Arial" w:cs="Arial" w:eastAsia="Arial" w:hAnsi="Arial"/>
          <w:sz w:val="18"/>
          <w:szCs w:val="18"/>
          <w:color w:val="auto"/>
        </w:rPr>
      </w:pPr>
    </w:p>
    <w:p>
      <w:pPr>
        <w:jc w:val="both"/>
        <w:ind w:left="1080" w:right="459" w:hanging="639"/>
        <w:spacing w:after="0" w:line="23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general meeting declaring a dividend may, upon the recommendation of the Directors, direct payment of such dividend wholly or in part by the distribution of specific assets, and in particular of paid up shares or debentures of any other company, and the Directors shall give effect to such resolution; and where any difficulty arises in regard to the distribution they may settle the same as they think expedient, and in particular may issue certificates representing part of a shareholding or fractions of shares, and may fix the value for distribution of such specific assets or any part thereof, and may determine that cash payment shall be made to any Members upon the footing of the value so fixed, in order to adjust the rights of Members, and may vest any specific assets in trustees upon trust for the persons entitled to the dividend as may seem expedient to the Directors, and generally may make such arrangements for the allotment, acceptance and sale of such specific assets or certificates representing part of a shareholding or fractions of shares, or any part thereof, and otherwise as they think fit.</w:t>
      </w:r>
    </w:p>
    <w:p>
      <w:pPr>
        <w:spacing w:after="0" w:line="182"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resolution declaring a dividend on the shares of any class, whether a resolution of the Company in general meeting or a resolution of the Directors, or any resolution of the Directors for the payment of a fixed dividend on a date prescribed for the payment thereof, may specify that the same shall be payable to the persons registered as the holders of shares of the class concerned at the close of business on a particular date, notwithstanding that it may be a date prior to that on which the resolution is passed (or, as the case may be, that prescribed for payment of a fixed dividend), and thereupon the dividend shall be payable to them in accordance with their respective holdings so registered, but without prejudice to the rights </w:t>
      </w:r>
      <w:r>
        <w:rPr>
          <w:rFonts w:ascii="Arial" w:cs="Arial" w:eastAsia="Arial" w:hAnsi="Arial"/>
          <w:sz w:val="18"/>
          <w:szCs w:val="18"/>
          <w:i w:val="1"/>
          <w:iCs w:val="1"/>
          <w:color w:val="auto"/>
        </w:rPr>
        <w:t xml:space="preserve">inter se </w:t>
      </w:r>
      <w:r>
        <w:rPr>
          <w:rFonts w:ascii="Arial" w:cs="Arial" w:eastAsia="Arial" w:hAnsi="Arial"/>
          <w:sz w:val="18"/>
          <w:szCs w:val="18"/>
          <w:color w:val="auto"/>
        </w:rPr>
        <w:t>in respect of such dividend of transferors and transferees of any shares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class.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 w:name="page49"/>
    <w:bookmarkEnd w:id="48"/>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 PREMIUM ACCOUNT AND RESERVE FUND</w:t>
      </w:r>
    </w:p>
    <w:p>
      <w:pPr>
        <w:spacing w:after="0" w:line="212" w:lineRule="exact"/>
        <w:rPr>
          <w:sz w:val="20"/>
          <w:szCs w:val="20"/>
          <w:color w:val="auto"/>
        </w:rPr>
      </w:pPr>
    </w:p>
    <w:p>
      <w:pPr>
        <w:jc w:val="both"/>
        <w:ind w:left="1080" w:right="459" w:hanging="639"/>
        <w:spacing w:after="0" w:line="24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shall be transferred to a share premium account, as required by the Law, the amount or value of any premium paid up on shares issued by the Company and the sums for the time being standing to the credit of the share premium account shall be applied only in accordance with the Law.</w:t>
      </w:r>
    </w:p>
    <w:p>
      <w:pPr>
        <w:spacing w:after="0" w:line="173"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Before the declaration of a dividend the Directors may set aside any part of the net profits of the Company to create a reserve fund, and may apply the same either by employing it in the business of the Company or by investing it in such a manner (not being the purchase of or by way of loan upon the shares of the Company) as they think fit. Such reserve fund may be applied for the purpose of maintaining the property of the Company, replacing wasting assets, meeting contingencies, forming an insurance fund, or equalising dividends or special dividends, or for any other purpose for which the net profits of the Company may lawfully be used, and until the same shall be applied it shall remain undivided profits. The Directors may also carry forward to the accounts of the succeeding year or years any balance of profit which they do not think fit either to divide or to place to reserve.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ACCOUNTS AND AUDIT</w:t>
      </w:r>
    </w:p>
    <w:p>
      <w:pPr>
        <w:spacing w:after="0" w:line="212" w:lineRule="exact"/>
        <w:rPr>
          <w:sz w:val="20"/>
          <w:szCs w:val="20"/>
          <w:color w:val="auto"/>
        </w:rPr>
      </w:pPr>
    </w:p>
    <w:p>
      <w:pPr>
        <w:jc w:val="both"/>
        <w:ind w:left="1080" w:right="459" w:hanging="639"/>
        <w:spacing w:after="0" w:line="25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keep accounting records and the Directors shall prepare accounts of the Company, made up to such date in each year as the Directors shall from time to time determine, in accordance with and subject to the Law.</w:t>
      </w:r>
    </w:p>
    <w:p>
      <w:pPr>
        <w:spacing w:after="0" w:line="168"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Member shall have any right to inspect any accounting records or other book or document of the Company except as conferred by the Law or authorised by the Directors or by resolution of the Company.</w:t>
      </w:r>
    </w:p>
    <w:p>
      <w:pPr>
        <w:spacing w:after="0" w:line="16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required by the Law, the rules and regulations of the Designated Stock Exchange, the SEC and/or any other competent regulatory authority or otherwise under Applicable Law, or determined to be necessary or appropriate for any other reason, Auditors shall be appointed for any period or periods either by the Directors, or the Company by resolution in general meeting, to examine the accounts of the Company and to report thereon in accordance with the Law, the rules and regulations of the Designated Stock Exchange, the SEC and/or any other competent regulatory authority or otherwise under Applicable Law.</w:t>
      </w:r>
    </w:p>
    <w:p>
      <w:pPr>
        <w:spacing w:after="0" w:line="184"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shares of the Company are listed or quoted on a Designated Stock Exchange that requires the Company to have an audit committee, the Directors shall adopt a formal written audit committee charter and review and assess the adequacy of the formal written charter on an annual basis.</w:t>
      </w:r>
    </w:p>
    <w:p>
      <w:pPr>
        <w:spacing w:after="0" w:line="17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shares of the Company are listed or quoted on the Designated Stock Exchange, the Company shall conduct an appropriate review of all related party transactions on an ongoing basis and, if required, shall utilise the audit committee for the review and approval of potential conflicts of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12" w:lineRule="exact"/>
        <w:rPr>
          <w:sz w:val="20"/>
          <w:szCs w:val="20"/>
          <w:color w:val="auto"/>
        </w:rPr>
      </w:pPr>
    </w:p>
    <w:p>
      <w:pPr>
        <w:jc w:val="both"/>
        <w:ind w:left="1080" w:right="459" w:hanging="639"/>
        <w:spacing w:after="0" w:line="24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notice to be given to or by any person pursuant to these Articles shall be in writing, save as provided in Articles </w:t>
      </w:r>
      <w:r>
        <w:rPr>
          <w:rFonts w:ascii="Arial" w:cs="Arial" w:eastAsia="Arial" w:hAnsi="Arial"/>
          <w:sz w:val="18"/>
          <w:szCs w:val="18"/>
          <w:u w:val="single" w:color="auto"/>
          <w:color w:val="auto"/>
        </w:rPr>
        <w:t>144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154</w:t>
      </w:r>
      <w:r>
        <w:rPr>
          <w:rFonts w:ascii="Arial" w:cs="Arial" w:eastAsia="Arial" w:hAnsi="Arial"/>
          <w:sz w:val="18"/>
          <w:szCs w:val="18"/>
          <w:color w:val="auto"/>
        </w:rPr>
        <w:t>.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73"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notice may be posted to or left at the registered address of any person, and any notice so posted shall be deemed to be served one Clear Day after the day it was posted.</w:t>
      </w:r>
    </w:p>
    <w:p>
      <w:pPr>
        <w:spacing w:after="0" w:line="153"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Member present in person at any meeting of the Company shall, for all purposes, be deemed to have received due notice of such meeting and, where requisite, of the purposes for which such meeting was convened.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spacing w:after="0" w:line="193" w:lineRule="exact"/>
        <w:rPr>
          <w:sz w:val="20"/>
          <w:szCs w:val="20"/>
          <w:color w:val="auto"/>
        </w:rPr>
      </w:pPr>
    </w:p>
    <w:p>
      <w:pPr>
        <w:jc w:val="both"/>
        <w:ind w:left="1080" w:right="459" w:hanging="639"/>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notice or document served on a Member shall, notwithstanding that such Member be then dead or bankrupt and whether or not the Company has notice of their death or bankruptcy, be deemed to have been duly served on such Member as sole or joint holder, unless their name shall at the time of the service of the notice or document have been removed from the Register, and such service shall for all purposes be deemed a sufficient service of such notice or document on all persons interested (whether jointly with or as claiming through or under them) in the shares of such Member.</w:t>
      </w:r>
    </w:p>
    <w:p>
      <w:pPr>
        <w:spacing w:after="0" w:line="184"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any of the provisions of these Articles, any notice to be given by the Company to a Director or to a Member may be given in any manner agreed in advance by any such Director or Member.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WINDING UP</w:t>
      </w:r>
    </w:p>
    <w:p>
      <w:pPr>
        <w:spacing w:after="0" w:line="212" w:lineRule="exact"/>
        <w:rPr>
          <w:sz w:val="20"/>
          <w:szCs w:val="20"/>
          <w:color w:val="auto"/>
        </w:rPr>
      </w:pPr>
    </w:p>
    <w:p>
      <w:pPr>
        <w:jc w:val="both"/>
        <w:ind w:left="1080" w:right="459" w:hanging="639"/>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any particular rights or limitations for the time being attached to any shares, as may be specified in these Articles or upon which such shares may be issued, if the Company is wound up, the assets available for distribution among the Members shall be applied first in repaying to the Members the amount paid up on their shares respectively, and if such assets shall be more than sufficient to repay to the Members the whole amount paid up on their shares, the balance shall be distributed among the Members in proportion to the amount which at the time of the commencement of the winding up had been actually paid up on their said shares respectively.</w:t>
      </w:r>
    </w:p>
    <w:p>
      <w:pPr>
        <w:spacing w:after="0" w:line="180"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Company is wound up, the Company may, with the sanction of a Special Resolution and any other sanction required by the Law, divide the whole or any part of the assets of the Company among the Members in specie and the liquidator or, where there is no liquidator, the Directors, may, for that purpose, value any assets and determine how the division shall be carried out as between the Members or different classes of Members, and with the like sanction, vest the whole or any part of the assets in trustees upon such trusts for the benefit of the Members as they with the like sanction determines, but no Member shall be compelled to accept any assets upon which there is a liability.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w:t>
      </w:r>
    </w:p>
    <w:p>
      <w:pPr>
        <w:spacing w:after="0" w:line="212" w:lineRule="exact"/>
        <w:rPr>
          <w:sz w:val="20"/>
          <w:szCs w:val="20"/>
          <w:color w:val="auto"/>
        </w:rPr>
      </w:pPr>
    </w:p>
    <w:p>
      <w:pPr>
        <w:jc w:val="both"/>
        <w:ind w:left="1080" w:right="459" w:hanging="639"/>
        <w:spacing w:after="0" w:line="23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maximum extent permitted by the Law, every Director (including for the purposes of this Article any alternate Director appointed pursuant to the provisions of these Articles), Secretary, assistant Secretary, or other officer for the time being and from time to time of the Company (but not including the Auditors) and the personal representatives of the same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shall be indemnified and secured harmless out of the assets and funds of the Company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their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Jersey or elsewhere.</w:t>
      </w:r>
    </w:p>
    <w:p>
      <w:pPr>
        <w:spacing w:after="0" w:line="189" w:lineRule="exact"/>
        <w:rPr>
          <w:rFonts w:ascii="Arial" w:cs="Arial" w:eastAsia="Arial" w:hAnsi="Arial"/>
          <w:sz w:val="18"/>
          <w:szCs w:val="18"/>
          <w:color w:val="auto"/>
        </w:rPr>
      </w:pPr>
    </w:p>
    <w:p>
      <w:pPr>
        <w:ind w:left="1080" w:hanging="639"/>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the maximum extent permitted by the Law, no Indemnified Person shall be liable:</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the acts, receipts, neglects, defaults or omissions of any other Director or officer or agent of the Company; or</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any loss on account of defect of title to any property of the Company; or</w:t>
      </w:r>
    </w:p>
    <w:p>
      <w:pPr>
        <w:spacing w:after="0" w:line="211" w:lineRule="exact"/>
        <w:rPr>
          <w:rFonts w:ascii="Arial" w:cs="Arial" w:eastAsia="Arial" w:hAnsi="Arial"/>
          <w:sz w:val="18"/>
          <w:szCs w:val="18"/>
          <w:color w:val="auto"/>
        </w:rPr>
      </w:pPr>
    </w:p>
    <w:p>
      <w:pPr>
        <w:ind w:left="1740" w:right="459" w:hanging="651"/>
        <w:spacing w:after="0" w:line="271" w:lineRule="auto"/>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account of the insufficiency of any security in or upon which any money of the Company shall be invested; or</w:t>
      </w:r>
    </w:p>
    <w:p>
      <w:pPr>
        <w:spacing w:after="0" w:line="153" w:lineRule="exact"/>
        <w:rPr>
          <w:rFonts w:ascii="Arial" w:cs="Arial" w:eastAsia="Arial" w:hAnsi="Arial"/>
          <w:sz w:val="18"/>
          <w:szCs w:val="18"/>
          <w:color w:val="auto"/>
        </w:rPr>
      </w:pPr>
    </w:p>
    <w:p>
      <w:pPr>
        <w:ind w:left="1740" w:hanging="651"/>
        <w:spacing w:after="0"/>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for any loss incurred through any bank, broker or other similar person;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193" w:lineRule="exact"/>
        <w:rPr>
          <w:sz w:val="20"/>
          <w:szCs w:val="20"/>
          <w:color w:val="auto"/>
        </w:rPr>
      </w:pPr>
    </w:p>
    <w:p>
      <w:pPr>
        <w:ind w:left="1740" w:right="459" w:hanging="651"/>
        <w:spacing w:after="0" w:line="271" w:lineRule="auto"/>
        <w:tabs>
          <w:tab w:leader="none" w:pos="1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any loss occasioned by any negligence, default, breach of duty, breach of trust, error of judgement or oversight on such Indemnified Person's part; or</w:t>
      </w:r>
    </w:p>
    <w:p>
      <w:pPr>
        <w:spacing w:after="0" w:line="153" w:lineRule="exact"/>
        <w:rPr>
          <w:rFonts w:ascii="Arial" w:cs="Arial" w:eastAsia="Arial" w:hAnsi="Arial"/>
          <w:sz w:val="18"/>
          <w:szCs w:val="18"/>
          <w:color w:val="auto"/>
        </w:rPr>
      </w:pPr>
    </w:p>
    <w:p>
      <w:pPr>
        <w:jc w:val="both"/>
        <w:ind w:left="1740" w:right="459" w:hanging="651"/>
        <w:spacing w:after="0" w:line="253" w:lineRule="auto"/>
        <w:tabs>
          <w:tab w:leader="none" w:pos="17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9" w:lineRule="exact"/>
        <w:rPr>
          <w:sz w:val="20"/>
          <w:szCs w:val="20"/>
          <w:color w:val="auto"/>
        </w:rPr>
      </w:pPr>
    </w:p>
    <w:p>
      <w:pPr>
        <w:ind w:left="1080" w:right="459"/>
        <w:spacing w:after="0" w:line="271" w:lineRule="auto"/>
        <w:rPr>
          <w:sz w:val="20"/>
          <w:szCs w:val="20"/>
          <w:color w:val="auto"/>
        </w:rPr>
      </w:pPr>
      <w:r>
        <w:rPr>
          <w:rFonts w:ascii="Arial" w:cs="Arial" w:eastAsia="Arial" w:hAnsi="Arial"/>
          <w:sz w:val="18"/>
          <w:szCs w:val="18"/>
          <w:color w:val="auto"/>
        </w:rPr>
        <w:t>unless the same shall happen through such Indemnified Person's own dishonesty, wilful default or fraud.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NON-APPLICATION OF STANDARD TABLE</w:t>
      </w:r>
    </w:p>
    <w:p>
      <w:pPr>
        <w:spacing w:after="0" w:line="212" w:lineRule="exact"/>
        <w:rPr>
          <w:sz w:val="20"/>
          <w:szCs w:val="20"/>
          <w:color w:val="auto"/>
        </w:rPr>
      </w:pPr>
    </w:p>
    <w:p>
      <w:pPr>
        <w:ind w:left="1080" w:right="459" w:hanging="639"/>
        <w:spacing w:after="0" w:line="27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regulations constituting the Standard Table in the Companies (Standard Table) (Jersey) Order 1992 shall not apply to the Company.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 DATE</w:t>
      </w:r>
    </w:p>
    <w:p>
      <w:pPr>
        <w:spacing w:after="0" w:line="212" w:lineRule="exact"/>
        <w:rPr>
          <w:sz w:val="20"/>
          <w:szCs w:val="20"/>
          <w:color w:val="auto"/>
        </w:rPr>
      </w:pPr>
    </w:p>
    <w:p>
      <w:pPr>
        <w:jc w:val="both"/>
        <w:ind w:left="1080" w:right="459" w:hanging="639"/>
        <w:spacing w:after="0" w:line="24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the purpose of determining Members entitled to Notice of or to vote at any meeting of Members or any adjournment thereof or in order to make a determination of Members for any other proper purpose, including, without limitation, for any dividend, distribution, allotment or issue, the Directors may fix a date as the record date for any such determination of Members.</w:t>
      </w:r>
    </w:p>
    <w:p>
      <w:pPr>
        <w:spacing w:after="0" w:line="173" w:lineRule="exact"/>
        <w:rPr>
          <w:rFonts w:ascii="Arial" w:cs="Arial" w:eastAsia="Arial" w:hAnsi="Arial"/>
          <w:sz w:val="18"/>
          <w:szCs w:val="18"/>
          <w:color w:val="auto"/>
        </w:rPr>
      </w:pPr>
    </w:p>
    <w:p>
      <w:pPr>
        <w:jc w:val="both"/>
        <w:ind w:left="1080" w:right="459" w:hanging="639"/>
        <w:spacing w:after="0" w:line="24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record date for any dividend, distribution, allotment or issue may be on or at any time before any date on which such dividend, distribution, allotment or issue is paid or made and on or at any time before or after any date on which such dividend, distribution, allotment or issue is declared.</w:t>
      </w:r>
    </w:p>
    <w:p>
      <w:pPr>
        <w:spacing w:after="0" w:line="173" w:lineRule="exact"/>
        <w:rPr>
          <w:rFonts w:ascii="Arial" w:cs="Arial" w:eastAsia="Arial" w:hAnsi="Arial"/>
          <w:sz w:val="18"/>
          <w:szCs w:val="18"/>
          <w:color w:val="auto"/>
        </w:rPr>
      </w:pPr>
    </w:p>
    <w:p>
      <w:pPr>
        <w:jc w:val="both"/>
        <w:ind w:left="1080" w:right="459" w:hanging="639"/>
        <w:spacing w:after="0" w:line="244"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no record date is fixed for the determination of Members entitled to Notice of or to vote at a meeting of Members, the date on which Notice of the meeting is sent shall be the record date for such determination of Members. When a determination of Members entitled to vote at any meeting has been made in the manner provided in this Article, such determination shall apply to any adjournment thereof.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SCHEDULE 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ADDITIONAL DEFINITIONS RELATING TO ARTICLE </w:t>
      </w:r>
      <w:r>
        <w:rPr>
          <w:rFonts w:ascii="Arial" w:cs="Arial" w:eastAsia="Arial" w:hAnsi="Arial"/>
          <w:sz w:val="18"/>
          <w:szCs w:val="18"/>
          <w:b w:val="1"/>
          <w:bCs w:val="1"/>
          <w:u w:val="single" w:color="auto"/>
          <w:color w:val="auto"/>
        </w:rPr>
        <w:t>18</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give to that term in the Sponsor Support Agreement.</w:t>
      </w:r>
    </w:p>
    <w:p>
      <w:pPr>
        <w:spacing w:after="0" w:line="212" w:lineRule="exact"/>
        <w:rPr>
          <w:sz w:val="20"/>
          <w:szCs w:val="20"/>
          <w:color w:val="auto"/>
        </w:rPr>
      </w:pPr>
    </w:p>
    <w:p>
      <w:pPr>
        <w:jc w:val="both"/>
        <w:ind w:left="440" w:right="459"/>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 Early Release Event</w:t>
      </w:r>
      <w:r>
        <w:rPr>
          <w:rFonts w:ascii="Arial" w:cs="Arial" w:eastAsia="Arial" w:hAnsi="Arial"/>
          <w:sz w:val="18"/>
          <w:szCs w:val="18"/>
          <w:color w:val="auto"/>
        </w:rPr>
        <w:t>" means 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 and pursuant to which the holders of Ordinary Shares have the right to receive cash or registered publicly listed securities (the “</w:t>
      </w:r>
      <w:r>
        <w:rPr>
          <w:rFonts w:ascii="Arial" w:cs="Arial" w:eastAsia="Arial" w:hAnsi="Arial"/>
          <w:sz w:val="18"/>
          <w:szCs w:val="18"/>
          <w:b w:val="1"/>
          <w:bCs w:val="1"/>
          <w:color w:val="auto"/>
        </w:rPr>
        <w:t>AIR Transaction Consideration</w:t>
      </w:r>
      <w:r>
        <w:rPr>
          <w:rFonts w:ascii="Arial" w:cs="Arial" w:eastAsia="Arial" w:hAnsi="Arial"/>
          <w:sz w:val="18"/>
          <w:szCs w:val="18"/>
          <w:color w:val="auto"/>
        </w:rPr>
        <w:t>”) in exchange for their Ordinary Shares where the value of the AIR Transaction Consideration per Ordinary Share (determined based on the aggregate value of the AIR Transaction Consideration divided by the fully diluted share count including the AIR Earnout Shares) equals or exceeds $12.50 per share.</w:t>
      </w:r>
    </w:p>
    <w:p>
      <w:pPr>
        <w:spacing w:after="0" w:line="186" w:lineRule="exact"/>
        <w:rPr>
          <w:sz w:val="20"/>
          <w:szCs w:val="20"/>
          <w:color w:val="auto"/>
        </w:rPr>
      </w:pPr>
    </w:p>
    <w:p>
      <w:pPr>
        <w:jc w:val="both"/>
        <w:ind w:left="44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 Earnout Shares</w:t>
      </w:r>
      <w:r>
        <w:rPr>
          <w:rFonts w:ascii="Arial" w:cs="Arial" w:eastAsia="Arial" w:hAnsi="Arial"/>
          <w:sz w:val="18"/>
          <w:szCs w:val="18"/>
          <w:color w:val="auto"/>
        </w:rPr>
        <w:t>" means the 7,189,417 of Ordinary Shares issued on May 15, 2026 to the former holders of shares in AIR Limited.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 Limited</w:t>
      </w:r>
      <w:r>
        <w:rPr>
          <w:rFonts w:ascii="Arial" w:cs="Arial" w:eastAsia="Arial" w:hAnsi="Arial"/>
          <w:sz w:val="18"/>
          <w:szCs w:val="18"/>
          <w:color w:val="auto"/>
        </w:rPr>
        <w:t>” means AIR Limited, a private limited company incorporated under the laws of Jersey.</w:t>
      </w:r>
    </w:p>
    <w:p>
      <w:pPr>
        <w:spacing w:after="0" w:line="212" w:lineRule="exact"/>
        <w:rPr>
          <w:sz w:val="20"/>
          <w:szCs w:val="20"/>
          <w:color w:val="auto"/>
        </w:rPr>
      </w:pPr>
    </w:p>
    <w:p>
      <w:pPr>
        <w:jc w:val="both"/>
        <w:ind w:left="44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Period</w:t>
      </w:r>
      <w:r>
        <w:rPr>
          <w:rFonts w:ascii="Arial" w:cs="Arial" w:eastAsia="Arial" w:hAnsi="Arial"/>
          <w:sz w:val="18"/>
          <w:szCs w:val="18"/>
          <w:color w:val="auto"/>
        </w:rPr>
        <w:t>" the period from May 15, 2026 until and including the date which is five (5) years following May 15, 2026.</w:t>
      </w:r>
    </w:p>
    <w:p>
      <w:pPr>
        <w:spacing w:after="0" w:line="154" w:lineRule="exact"/>
        <w:rPr>
          <w:sz w:val="20"/>
          <w:szCs w:val="20"/>
          <w:color w:val="auto"/>
        </w:rPr>
      </w:pPr>
    </w:p>
    <w:p>
      <w:pPr>
        <w:jc w:val="both"/>
        <w:ind w:left="440" w:right="45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Release Event</w:t>
      </w:r>
      <w:r>
        <w:rPr>
          <w:rFonts w:ascii="Arial" w:cs="Arial" w:eastAsia="Arial" w:hAnsi="Arial"/>
          <w:sz w:val="18"/>
          <w:szCs w:val="18"/>
          <w:color w:val="auto"/>
        </w:rPr>
        <w:t>" means the last Trading Day of the period in which the closing price of the Ordinary Shares (or any common or ordinary equity security that is the successor to the Ordinary Shares (together with the Ordinary Shares, the “</w:t>
      </w:r>
      <w:r>
        <w:rPr>
          <w:rFonts w:ascii="Arial" w:cs="Arial" w:eastAsia="Arial" w:hAnsi="Arial"/>
          <w:sz w:val="18"/>
          <w:szCs w:val="18"/>
          <w:b w:val="1"/>
          <w:bCs w:val="1"/>
          <w:color w:val="auto"/>
        </w:rPr>
        <w:t>Public Ordinary Shares</w:t>
      </w:r>
      <w:r>
        <w:rPr>
          <w:rFonts w:ascii="Arial" w:cs="Arial" w:eastAsia="Arial" w:hAnsi="Arial"/>
          <w:sz w:val="18"/>
          <w:szCs w:val="18"/>
          <w:color w:val="auto"/>
        </w:rPr>
        <w:t>”)) on the principal exchange on which such securities are then listed or quoted being at or above $12.50 for twenty (20) Trading Days (which need not be consecutive) over a consecutive thirty (30) Trading Day period at any time during the Earnout Period.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has the meaning give to that term in the Sponsor Support Agreement.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Early Release Event</w:t>
      </w:r>
      <w:r>
        <w:rPr>
          <w:rFonts w:ascii="Arial" w:cs="Arial" w:eastAsia="Arial" w:hAnsi="Arial"/>
          <w:sz w:val="18"/>
          <w:szCs w:val="18"/>
          <w:color w:val="auto"/>
        </w:rPr>
        <w:t>" means the occurrence of any of the following:</w:t>
      </w:r>
    </w:p>
    <w:p>
      <w:pPr>
        <w:spacing w:after="0" w:line="212" w:lineRule="exact"/>
        <w:rPr>
          <w:sz w:val="20"/>
          <w:szCs w:val="20"/>
          <w:color w:val="auto"/>
        </w:rPr>
      </w:pPr>
    </w:p>
    <w:p>
      <w:pPr>
        <w:jc w:val="both"/>
        <w:ind w:left="1080" w:right="459" w:hanging="639"/>
        <w:spacing w:after="0" w:line="242"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w:t>
      </w:r>
    </w:p>
    <w:p>
      <w:pPr>
        <w:spacing w:after="0" w:line="178" w:lineRule="exact"/>
        <w:rPr>
          <w:rFonts w:ascii="Arial" w:cs="Arial" w:eastAsia="Arial" w:hAnsi="Arial"/>
          <w:sz w:val="18"/>
          <w:szCs w:val="18"/>
          <w:color w:val="auto"/>
        </w:rPr>
      </w:pPr>
    </w:p>
    <w:p>
      <w:pPr>
        <w:jc w:val="both"/>
        <w:ind w:left="1080" w:right="459" w:hanging="639"/>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sells, leases, assigns, transfers, licenses or otherwise disposes of, in one or a series of related transactions, all or substantially all of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Subsidiaries, except where such sale, lease, transfer, exclusive license or other disposition is to a wholly-owned subsidiary of the Company;</w:t>
      </w:r>
    </w:p>
    <w:p>
      <w:pPr>
        <w:spacing w:after="0" w:line="184" w:lineRule="exact"/>
        <w:rPr>
          <w:rFonts w:ascii="Arial" w:cs="Arial" w:eastAsia="Arial" w:hAnsi="Arial"/>
          <w:sz w:val="18"/>
          <w:szCs w:val="18"/>
          <w:color w:val="auto"/>
        </w:rPr>
      </w:pPr>
    </w:p>
    <w:p>
      <w:pPr>
        <w:jc w:val="both"/>
        <w:ind w:left="1080" w:right="459" w:hanging="639"/>
        <w:spacing w:after="0" w:line="23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Schedule 13D or Schedule 13G report (or any successor schedule form or report), each as promulgated pursuant to the United States Securities Exchange Act of 1934, as amended from time to time (the “</w:t>
      </w:r>
      <w:r>
        <w:rPr>
          <w:rFonts w:ascii="Arial" w:cs="Arial" w:eastAsia="Arial" w:hAnsi="Arial"/>
          <w:sz w:val="18"/>
          <w:szCs w:val="18"/>
          <w:b w:val="1"/>
          <w:bCs w:val="1"/>
          <w:color w:val="auto"/>
        </w:rPr>
        <w:t>Exchange Act</w:t>
      </w:r>
      <w:r>
        <w:rPr>
          <w:rFonts w:ascii="Arial" w:cs="Arial" w:eastAsia="Arial" w:hAnsi="Arial"/>
          <w:sz w:val="18"/>
          <w:szCs w:val="18"/>
          <w:color w:val="auto"/>
        </w:rPr>
        <w:t>”), is filed with the United States Securities and Exchange Commission disclosing that any person or group (as the terms “person” and “group” are used in Section 13(d) or Section 14(d) of the Exchange Act and the rules and regulations promulgated thereunder) has become the beneficial owner (as the term “beneficial owner” is defined in Rule 13d-3 or any successor rule or regulation promulgated under the Exchange Act) of a percentage of the outstanding Public Ordinary Shares that represents more than 50% of</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52" w:name="page53"/>
    <w:bookmarkEnd w:id="52"/>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voting power of the Company, provided, that any amendment to a Schedule 13D or</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Schedule 13G report (or any successor schedule form or report) filed by:</w:t>
      </w:r>
    </w:p>
    <w:p>
      <w:pPr>
        <w:spacing w:after="0" w:line="194" w:lineRule="exact"/>
        <w:rPr>
          <w:sz w:val="20"/>
          <w:szCs w:val="20"/>
          <w:color w:val="auto"/>
        </w:rPr>
      </w:pPr>
    </w:p>
    <w:p>
      <w:pPr>
        <w:jc w:val="both"/>
        <w:ind w:left="1740" w:right="459" w:hanging="651"/>
        <w:spacing w:after="0" w:line="253" w:lineRule="auto"/>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person or group which, on May 15, 2026, beneficially owns a percentage of the outstanding Public Ordinary Shares that represents more than 50% of the voting power of the Company; or</w:t>
      </w:r>
    </w:p>
    <w:p>
      <w:pPr>
        <w:spacing w:after="0" w:line="168" w:lineRule="exact"/>
        <w:rPr>
          <w:rFonts w:ascii="Arial" w:cs="Arial" w:eastAsia="Arial" w:hAnsi="Arial"/>
          <w:sz w:val="18"/>
          <w:szCs w:val="18"/>
          <w:color w:val="auto"/>
        </w:rPr>
      </w:pPr>
    </w:p>
    <w:p>
      <w:pPr>
        <w:ind w:left="1740" w:right="459" w:hanging="651"/>
        <w:spacing w:after="0" w:line="271" w:lineRule="auto"/>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Affiliate of such person or group described in limb (i) who is a Permitted Transferee of all or any portion of such Public Ordinary Shares,</w:t>
      </w:r>
    </w:p>
    <w:p>
      <w:pPr>
        <w:spacing w:after="0" w:line="154" w:lineRule="exact"/>
        <w:rPr>
          <w:sz w:val="20"/>
          <w:szCs w:val="20"/>
          <w:color w:val="auto"/>
        </w:rPr>
      </w:pPr>
    </w:p>
    <w:p>
      <w:pPr>
        <w:jc w:val="both"/>
        <w:ind w:left="1080" w:right="459"/>
        <w:spacing w:after="0" w:line="242" w:lineRule="auto"/>
        <w:rPr>
          <w:sz w:val="20"/>
          <w:szCs w:val="20"/>
          <w:color w:val="auto"/>
        </w:rPr>
      </w:pPr>
      <w:r>
        <w:rPr>
          <w:rFonts w:ascii="Arial" w:cs="Arial" w:eastAsia="Arial" w:hAnsi="Arial"/>
          <w:sz w:val="18"/>
          <w:szCs w:val="18"/>
          <w:color w:val="auto"/>
        </w:rPr>
        <w:t>to reflect changes to the allocation of Public Ordinary Shares beneficially owned by the original reporting persons thereunder or their respective Affiliates who are Permitted Transferees of such Public Ordinary Shares shall not be deemed to trigger this limb (c) so long as such original reporting persons and/or their respective Permitted Transferee Affiliates continue to beneficially own more than 50% of the voting power of the Company in the aggregate;</w:t>
      </w:r>
    </w:p>
    <w:p>
      <w:pPr>
        <w:spacing w:after="0" w:line="179" w:lineRule="exact"/>
        <w:rPr>
          <w:sz w:val="20"/>
          <w:szCs w:val="20"/>
          <w:color w:val="auto"/>
        </w:rPr>
      </w:pPr>
    </w:p>
    <w:p>
      <w:pPr>
        <w:jc w:val="both"/>
        <w:ind w:left="1080" w:right="459" w:hanging="639"/>
        <w:spacing w:after="0" w:line="25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Company shall engage in a “going private” transaction pursuant to Rule 13e-3 under the Exchange Act or otherwise ceases to be subject to reporting obligations under Sections 13 or 15(d) of the Exchange Act; or</w:t>
      </w:r>
    </w:p>
    <w:p>
      <w:pPr>
        <w:spacing w:after="0" w:line="168" w:lineRule="exact"/>
        <w:rPr>
          <w:rFonts w:ascii="Arial" w:cs="Arial" w:eastAsia="Arial" w:hAnsi="Arial"/>
          <w:sz w:val="18"/>
          <w:szCs w:val="18"/>
          <w:color w:val="auto"/>
        </w:rPr>
      </w:pPr>
    </w:p>
    <w:p>
      <w:pPr>
        <w:ind w:left="1080" w:right="459" w:hanging="639"/>
        <w:spacing w:after="0" w:line="271"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Ordinary Shares or other Public Ordinary Shares shall cease to be listed on a national securities exchange.</w:t>
      </w:r>
    </w:p>
    <w:p>
      <w:pPr>
        <w:spacing w:after="0" w:line="154" w:lineRule="exact"/>
        <w:rPr>
          <w:sz w:val="20"/>
          <w:szCs w:val="20"/>
          <w:color w:val="auto"/>
        </w:rPr>
      </w:pPr>
    </w:p>
    <w:p>
      <w:pPr>
        <w:jc w:val="both"/>
        <w:ind w:left="44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Earnout Shares</w:t>
      </w:r>
      <w:r>
        <w:rPr>
          <w:rFonts w:ascii="Arial" w:cs="Arial" w:eastAsia="Arial" w:hAnsi="Arial"/>
          <w:sz w:val="18"/>
          <w:szCs w:val="18"/>
          <w:color w:val="auto"/>
        </w:rPr>
        <w:t>" means one million five hundred thousand (1,500,000) of the Ordinary Shares that Cantor EP Holdings III, LLC received on May 15, 2026 (together with any equity securities paid as dividends or distributions with respect to such Ordinary Shares or into which such Ordinary Shares are exchanged or converted, in either case, after May 15, 2026).</w:t>
      </w:r>
    </w:p>
    <w:p>
      <w:pPr>
        <w:spacing w:after="0" w:line="174" w:lineRule="exact"/>
        <w:rPr>
          <w:sz w:val="20"/>
          <w:szCs w:val="20"/>
          <w:color w:val="auto"/>
        </w:rPr>
      </w:pPr>
    </w:p>
    <w:p>
      <w:pPr>
        <w:jc w:val="both"/>
        <w:ind w:left="440" w:right="459"/>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Second Release Event</w:t>
      </w:r>
      <w:r>
        <w:rPr>
          <w:rFonts w:ascii="Arial" w:cs="Arial" w:eastAsia="Arial" w:hAnsi="Arial"/>
          <w:sz w:val="18"/>
          <w:szCs w:val="18"/>
          <w:color w:val="auto"/>
        </w:rPr>
        <w:t>" means the closing price of the Public Ordinary Shares on the principal exchange on which such securities are then listed or quoted being at or above $15.00) for twenty (20) Trading Days (which need not be consecutive) over a consecutive thirty (30) Trading Day period at any time during the Earnout Period.</w:t>
      </w:r>
    </w:p>
    <w:p>
      <w:pPr>
        <w:spacing w:after="0" w:line="174" w:lineRule="exact"/>
        <w:rPr>
          <w:sz w:val="20"/>
          <w:szCs w:val="20"/>
          <w:color w:val="auto"/>
        </w:rPr>
      </w:pPr>
    </w:p>
    <w:p>
      <w:pPr>
        <w:jc w:val="both"/>
        <w:ind w:left="44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Support Agreement</w:t>
      </w:r>
      <w:r>
        <w:rPr>
          <w:rFonts w:ascii="Arial" w:cs="Arial" w:eastAsia="Arial" w:hAnsi="Arial"/>
          <w:sz w:val="18"/>
          <w:szCs w:val="18"/>
          <w:color w:val="auto"/>
        </w:rPr>
        <w:t>” means the sponsor support agreement entered into, among others, by the Company, dated as of 7 November 2025 (as amended from time to time).</w:t>
      </w:r>
    </w:p>
    <w:p>
      <w:pPr>
        <w:spacing w:after="0" w:line="154" w:lineRule="exact"/>
        <w:rPr>
          <w:sz w:val="20"/>
          <w:szCs w:val="20"/>
          <w:color w:val="auto"/>
        </w:rPr>
      </w:pPr>
    </w:p>
    <w:p>
      <w:pPr>
        <w:jc w:val="both"/>
        <w:ind w:left="44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 person, any corporation, general or limited partnership, limited liability company, joint venture or other entity in which such person, directly or indirectly:</w:t>
      </w:r>
    </w:p>
    <w:p>
      <w:pPr>
        <w:spacing w:after="0" w:line="154" w:lineRule="exact"/>
        <w:rPr>
          <w:sz w:val="20"/>
          <w:szCs w:val="20"/>
          <w:color w:val="auto"/>
        </w:rPr>
      </w:pPr>
    </w:p>
    <w:p>
      <w:pPr>
        <w:ind w:left="1080" w:right="459" w:hanging="639"/>
        <w:spacing w:after="0" w:line="271"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owns or controls fifty percent (50%) or more of the outstanding voting securities, profits interest or capital interest;</w:t>
      </w:r>
    </w:p>
    <w:p>
      <w:pPr>
        <w:spacing w:after="0" w:line="153" w:lineRule="exact"/>
        <w:rPr>
          <w:rFonts w:ascii="Arial" w:cs="Arial" w:eastAsia="Arial" w:hAnsi="Arial"/>
          <w:sz w:val="18"/>
          <w:szCs w:val="18"/>
          <w:color w:val="auto"/>
        </w:rPr>
      </w:pPr>
    </w:p>
    <w:p>
      <w:pPr>
        <w:ind w:left="1080" w:hanging="639"/>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entitled to elect at least a majority of the board of directors or similar governing body; or</w:t>
      </w:r>
    </w:p>
    <w:p>
      <w:pPr>
        <w:spacing w:after="0" w:line="211" w:lineRule="exact"/>
        <w:rPr>
          <w:rFonts w:ascii="Arial" w:cs="Arial" w:eastAsia="Arial" w:hAnsi="Arial"/>
          <w:sz w:val="18"/>
          <w:szCs w:val="18"/>
          <w:color w:val="auto"/>
        </w:rPr>
      </w:pPr>
    </w:p>
    <w:p>
      <w:pPr>
        <w:jc w:val="both"/>
        <w:ind w:left="1080" w:right="459" w:hanging="639"/>
        <w:spacing w:after="0" w:line="25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case of a limited partnership, limited liability company or similar entity, is a general partner or managing member and has the power to direct the policies, management and affairs of such entity,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respectively.</w:t>
      </w:r>
    </w:p>
    <w:p>
      <w:pPr>
        <w:spacing w:after="0" w:line="212" w:lineRule="exact"/>
        <w:rPr>
          <w:sz w:val="20"/>
          <w:szCs w:val="20"/>
          <w:color w:val="auto"/>
        </w:rPr>
      </w:pPr>
    </w:p>
    <w:p>
      <w:pPr>
        <w:ind w:left="440" w:right="45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Public Ordinary Shares are actually traded on the principal exchange on which such securities are then listed or quoted.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476250</wp:posOffset>
            </wp:positionV>
            <wp:extent cx="684911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ind w:left="7640"/>
        <w:spacing w:after="0"/>
        <w:rPr>
          <w:sz w:val="20"/>
          <w:szCs w:val="20"/>
          <w:color w:val="auto"/>
        </w:rPr>
      </w:pPr>
      <w:r>
        <w:rPr>
          <w:rFonts w:ascii="Times New Roman" w:cs="Times New Roman" w:eastAsia="Times New Roman" w:hAnsi="Times New Roman"/>
          <w:sz w:val="19"/>
          <w:szCs w:val="19"/>
          <w:b w:val="1"/>
          <w:bCs w:val="1"/>
          <w:color w:val="auto"/>
        </w:rPr>
        <w:t>Exhibit 4.2</w:t>
      </w:r>
    </w:p>
    <w:p>
      <w:pPr>
        <w:spacing w:after="0" w:line="2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b w:val="1"/>
          <w:bCs w:val="1"/>
          <w:color w:val="auto"/>
        </w:rPr>
        <w:t>WAIVER AGREEMENT TO THE BUSINESS COMBINATION AGREEMENT</w:t>
      </w:r>
    </w:p>
    <w:p>
      <w:pPr>
        <w:spacing w:after="0" w:line="220" w:lineRule="exact"/>
        <w:rPr>
          <w:sz w:val="20"/>
          <w:szCs w:val="20"/>
          <w:color w:val="auto"/>
        </w:rPr>
      </w:pPr>
    </w:p>
    <w:p>
      <w:pPr>
        <w:jc w:val="both"/>
        <w:ind w:left="440" w:right="459" w:firstLine="648"/>
        <w:spacing w:after="0" w:line="242" w:lineRule="auto"/>
        <w:rPr>
          <w:sz w:val="20"/>
          <w:szCs w:val="20"/>
          <w:color w:val="auto"/>
        </w:rPr>
      </w:pPr>
      <w:r>
        <w:rPr>
          <w:rFonts w:ascii="Times New Roman" w:cs="Times New Roman" w:eastAsia="Times New Roman" w:hAnsi="Times New Roman"/>
          <w:sz w:val="20"/>
          <w:szCs w:val="20"/>
          <w:color w:val="auto"/>
        </w:rPr>
        <w:t>This Waiver Agreement to the Business Combination Agreement (this “</w:t>
      </w:r>
      <w:r>
        <w:rPr>
          <w:rFonts w:ascii="Times New Roman" w:cs="Times New Roman" w:eastAsia="Times New Roman" w:hAnsi="Times New Roman"/>
          <w:sz w:val="20"/>
          <w:szCs w:val="20"/>
          <w:u w:val="single" w:color="auto"/>
          <w:color w:val="auto"/>
        </w:rPr>
        <w:t>Waiver Agreement</w:t>
      </w:r>
      <w:r>
        <w:rPr>
          <w:rFonts w:ascii="Times New Roman" w:cs="Times New Roman" w:eastAsia="Times New Roman" w:hAnsi="Times New Roman"/>
          <w:sz w:val="20"/>
          <w:szCs w:val="20"/>
          <w:color w:val="auto"/>
        </w:rPr>
        <w:t>”) is made and entered into as of May 15, 2026 by and among (1) CANTOR EQUITY PARTNERS III, INC., a Cayman Islands exempted company (“</w:t>
      </w:r>
      <w:r>
        <w:rPr>
          <w:rFonts w:ascii="Times New Roman" w:cs="Times New Roman" w:eastAsia="Times New Roman" w:hAnsi="Times New Roman"/>
          <w:sz w:val="20"/>
          <w:szCs w:val="20"/>
          <w:u w:val="single" w:color="auto"/>
          <w:color w:val="auto"/>
        </w:rPr>
        <w:t>SPAC</w:t>
      </w:r>
      <w:r>
        <w:rPr>
          <w:rFonts w:ascii="Times New Roman" w:cs="Times New Roman" w:eastAsia="Times New Roman" w:hAnsi="Times New Roman"/>
          <w:sz w:val="20"/>
          <w:szCs w:val="20"/>
          <w:color w:val="auto"/>
        </w:rPr>
        <w:t>”), (2) AIR LIMITED, a private limited company incorporated under the laws of Jersey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(3)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(4) GENESIS CAYMAN MERGER SUB LIMITED, a Cayman Islands exempted company (“</w:t>
      </w:r>
      <w:r>
        <w:rPr>
          <w:rFonts w:ascii="Times New Roman" w:cs="Times New Roman" w:eastAsia="Times New Roman" w:hAnsi="Times New Roman"/>
          <w:sz w:val="20"/>
          <w:szCs w:val="20"/>
          <w:u w:val="single" w:color="auto"/>
          <w:color w:val="auto"/>
        </w:rPr>
        <w:t>Cayman Merger Sub</w:t>
      </w:r>
      <w:r>
        <w:rPr>
          <w:rFonts w:ascii="Times New Roman" w:cs="Times New Roman" w:eastAsia="Times New Roman" w:hAnsi="Times New Roman"/>
          <w:sz w:val="20"/>
          <w:szCs w:val="20"/>
          <w:color w:val="auto"/>
        </w:rPr>
        <w:t>”), and (5) GENESIS JERSEY MERGER SUB LIMITED, a private limited company incorporated under the laws of Jersey (“</w:t>
      </w:r>
      <w:r>
        <w:rPr>
          <w:rFonts w:ascii="Times New Roman" w:cs="Times New Roman" w:eastAsia="Times New Roman" w:hAnsi="Times New Roman"/>
          <w:sz w:val="20"/>
          <w:szCs w:val="20"/>
          <w:u w:val="single" w:color="auto"/>
          <w:color w:val="auto"/>
        </w:rPr>
        <w:t>Jersey Merger Sub</w:t>
      </w:r>
      <w:r>
        <w:rPr>
          <w:rFonts w:ascii="Times New Roman" w:cs="Times New Roman" w:eastAsia="Times New Roman" w:hAnsi="Times New Roman"/>
          <w:sz w:val="20"/>
          <w:szCs w:val="20"/>
          <w:color w:val="auto"/>
        </w:rPr>
        <w:t>”), being the parties to the Business Combination Agreement, dated as of November 7, 2025 (the “</w:t>
      </w:r>
      <w:r>
        <w:rPr>
          <w:rFonts w:ascii="Times New Roman" w:cs="Times New Roman" w:eastAsia="Times New Roman" w:hAnsi="Times New Roman"/>
          <w:sz w:val="20"/>
          <w:szCs w:val="20"/>
          <w:u w:val="single" w:color="auto"/>
          <w:color w:val="auto"/>
        </w:rPr>
        <w:t>Business Combination Agreement</w:t>
      </w:r>
      <w:r>
        <w:rPr>
          <w:rFonts w:ascii="Times New Roman" w:cs="Times New Roman" w:eastAsia="Times New Roman" w:hAnsi="Times New Roman"/>
          <w:sz w:val="20"/>
          <w:szCs w:val="20"/>
          <w:color w:val="auto"/>
        </w:rPr>
        <w:t>”). Each of SPAC, the Company, PubCo, Cayman Merger Sub and Jersey Merger Sub will individually be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Capitalized terms used and not otherwise defined herein shall have the meanings assigned to them in the Business Combination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20"/>
          <w:szCs w:val="20"/>
          <w:u w:val="single" w:color="auto"/>
          <w:color w:val="auto"/>
        </w:rPr>
        <w:t>WHEREAS</w:t>
      </w:r>
      <w:r>
        <w:rPr>
          <w:rFonts w:ascii="Times New Roman" w:cs="Times New Roman" w:eastAsia="Times New Roman" w:hAnsi="Times New Roman"/>
          <w:sz w:val="20"/>
          <w:szCs w:val="20"/>
          <w:color w:val="auto"/>
        </w:rPr>
        <w:t>, Section 13.10 (</w:t>
      </w:r>
      <w:r>
        <w:rPr>
          <w:rFonts w:ascii="Times New Roman" w:cs="Times New Roman" w:eastAsia="Times New Roman" w:hAnsi="Times New Roman"/>
          <w:sz w:val="20"/>
          <w:szCs w:val="20"/>
          <w:i w:val="1"/>
          <w:iCs w:val="1"/>
          <w:color w:val="auto"/>
        </w:rPr>
        <w:t>Waiver</w:t>
      </w:r>
      <w:r>
        <w:rPr>
          <w:rFonts w:ascii="Times New Roman" w:cs="Times New Roman" w:eastAsia="Times New Roman" w:hAnsi="Times New Roman"/>
          <w:sz w:val="20"/>
          <w:szCs w:val="20"/>
          <w:color w:val="auto"/>
        </w:rPr>
        <w:t>) of the Business Combination Agreement provides that compliance with the covenants and conditions contained in the Business Combination Agreement may be waived by written instrument signed by the Party or Parties to be bound thereby.</w:t>
      </w:r>
    </w:p>
    <w:p>
      <w:pPr>
        <w:spacing w:after="0" w:line="169" w:lineRule="exact"/>
        <w:rPr>
          <w:sz w:val="20"/>
          <w:szCs w:val="20"/>
          <w:color w:val="auto"/>
        </w:rPr>
      </w:pPr>
    </w:p>
    <w:p>
      <w:pPr>
        <w:jc w:val="both"/>
        <w:ind w:left="440" w:right="459" w:firstLine="648"/>
        <w:spacing w:after="0" w:line="250" w:lineRule="auto"/>
        <w:rPr>
          <w:sz w:val="20"/>
          <w:szCs w:val="20"/>
          <w:color w:val="auto"/>
        </w:rPr>
      </w:pPr>
      <w:r>
        <w:rPr>
          <w:rFonts w:ascii="Times New Roman" w:cs="Times New Roman" w:eastAsia="Times New Roman" w:hAnsi="Times New Roman"/>
          <w:sz w:val="20"/>
          <w:szCs w:val="20"/>
          <w:u w:val="single" w:color="auto"/>
          <w:color w:val="auto"/>
        </w:rPr>
        <w:t>WHEREAS</w:t>
      </w:r>
      <w:r>
        <w:rPr>
          <w:rFonts w:ascii="Times New Roman" w:cs="Times New Roman" w:eastAsia="Times New Roman" w:hAnsi="Times New Roman"/>
          <w:sz w:val="20"/>
          <w:szCs w:val="20"/>
          <w:color w:val="auto"/>
        </w:rPr>
        <w:t>, in accordance with Section 13.10 (</w:t>
      </w:r>
      <w:r>
        <w:rPr>
          <w:rFonts w:ascii="Times New Roman" w:cs="Times New Roman" w:eastAsia="Times New Roman" w:hAnsi="Times New Roman"/>
          <w:sz w:val="20"/>
          <w:szCs w:val="20"/>
          <w:i w:val="1"/>
          <w:iCs w:val="1"/>
          <w:color w:val="auto"/>
        </w:rPr>
        <w:t>Waiver</w:t>
      </w:r>
      <w:r>
        <w:rPr>
          <w:rFonts w:ascii="Times New Roman" w:cs="Times New Roman" w:eastAsia="Times New Roman" w:hAnsi="Times New Roman"/>
          <w:sz w:val="20"/>
          <w:szCs w:val="20"/>
          <w:color w:val="auto"/>
        </w:rPr>
        <w:t>) of the Business Combination Agreement, the Parties wish to waive the application of certain provisions of Section 3.1(b)(ii) (</w:t>
      </w:r>
      <w:r>
        <w:rPr>
          <w:rFonts w:ascii="Times New Roman" w:cs="Times New Roman" w:eastAsia="Times New Roman" w:hAnsi="Times New Roman"/>
          <w:sz w:val="20"/>
          <w:szCs w:val="20"/>
          <w:i w:val="1"/>
          <w:iCs w:val="1"/>
          <w:color w:val="auto"/>
        </w:rPr>
        <w:t>Lock-Up</w:t>
      </w:r>
      <w:r>
        <w:rPr>
          <w:rFonts w:ascii="Times New Roman" w:cs="Times New Roman" w:eastAsia="Times New Roman" w:hAnsi="Times New Roman"/>
          <w:sz w:val="20"/>
          <w:szCs w:val="20"/>
          <w:color w:val="auto"/>
        </w:rPr>
        <w:t>) of the Business Combination Agreement to the extent, and on the terms, set forth in this Waiver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w:t>
      </w:r>
    </w:p>
    <w:p>
      <w:pPr>
        <w:spacing w:after="0" w:line="180"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NOW, THEREFORE</w:t>
      </w:r>
      <w:r>
        <w:rPr>
          <w:rFonts w:ascii="Times New Roman" w:cs="Times New Roman" w:eastAsia="Times New Roman" w:hAnsi="Times New Roman"/>
          <w:sz w:val="20"/>
          <w:szCs w:val="20"/>
          <w:color w:val="auto"/>
        </w:rPr>
        <w:t>, in consideration of the covenants, promises and representations set forth herein, and for other good and valuable consideration, the receipt and sufficiency of which are hereby acknowledged, the Parties agree as follows: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WAIVER</w:t>
      </w:r>
    </w:p>
    <w:p>
      <w:pPr>
        <w:spacing w:after="0" w:line="19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Waiver of Lock-Up</w:t>
      </w:r>
      <w:r>
        <w:rPr>
          <w:rFonts w:ascii="Times New Roman" w:cs="Times New Roman" w:eastAsia="Times New Roman" w:hAnsi="Times New Roman"/>
          <w:sz w:val="20"/>
          <w:szCs w:val="20"/>
          <w:color w:val="auto"/>
        </w:rPr>
        <w:t>. Subject to the terms of this Waiver Agreement:</w:t>
      </w:r>
    </w:p>
    <w:p>
      <w:pPr>
        <w:spacing w:after="0" w:line="216" w:lineRule="exact"/>
        <w:rPr>
          <w:sz w:val="20"/>
          <w:szCs w:val="20"/>
          <w:color w:val="auto"/>
        </w:rPr>
      </w:pPr>
    </w:p>
    <w:p>
      <w:pPr>
        <w:jc w:val="both"/>
        <w:ind w:left="440" w:right="459" w:firstLine="1297"/>
        <w:spacing w:after="0" w:line="240" w:lineRule="exact"/>
        <w:tabs>
          <w:tab w:leader="none" w:pos="22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Waiver Agreement, a “</w:t>
      </w:r>
      <w:r>
        <w:rPr>
          <w:rFonts w:ascii="Times New Roman" w:cs="Times New Roman" w:eastAsia="Times New Roman" w:hAnsi="Times New Roman"/>
          <w:sz w:val="20"/>
          <w:szCs w:val="20"/>
          <w:u w:val="single" w:color="auto"/>
          <w:color w:val="auto"/>
        </w:rPr>
        <w:t>Round Lot PubCo Ordinary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 means a PubCo Ordinary Share issued to a Company Shareholder pursuant to Section 3.1(b)(i) that is registered on the registration statement on Form 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4 filed with the SEC pursuant to Section 8.14(a).</w:t>
      </w:r>
    </w:p>
    <w:p>
      <w:pPr>
        <w:spacing w:after="0" w:line="189" w:lineRule="exact"/>
        <w:rPr>
          <w:rFonts w:ascii="Times New Roman" w:cs="Times New Roman" w:eastAsia="Times New Roman" w:hAnsi="Times New Roman"/>
          <w:sz w:val="20"/>
          <w:szCs w:val="20"/>
          <w:color w:val="auto"/>
        </w:rPr>
      </w:pPr>
    </w:p>
    <w:p>
      <w:pPr>
        <w:jc w:val="both"/>
        <w:ind w:left="440" w:right="459" w:firstLine="1297"/>
        <w:spacing w:after="0" w:line="244" w:lineRule="auto"/>
        <w:tabs>
          <w:tab w:leader="none" w:pos="22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hereby waives, with effect from the date hereof, the application of Section 3.1(b)(ii) (Lock-Up) of the Business Combination Agreement to the extent (and only to the extent) that Section 3.1(b)(ii) of the Business Combination Agreement would otherwise prohibit or restrict the Transfer of any Round Lot PubCo Ordinary Share. For the avoidance of doubt, any PubCo Ordinary Share issued to a Company Shareholder pursuant to Section 3.1(b)(i) of the Business Combination Agreement that is not a Round Lot PubCo Ordinary Share shall remain subject to Section 3.1(b)(ii) of the Business Combination Agreement in full.</w:t>
      </w:r>
    </w:p>
    <w:p>
      <w:pPr>
        <w:spacing w:after="0" w:line="185" w:lineRule="exact"/>
        <w:rPr>
          <w:rFonts w:ascii="Times New Roman" w:cs="Times New Roman" w:eastAsia="Times New Roman" w:hAnsi="Times New Roman"/>
          <w:sz w:val="20"/>
          <w:szCs w:val="20"/>
          <w:color w:val="auto"/>
        </w:rPr>
      </w:pPr>
    </w:p>
    <w:p>
      <w:pPr>
        <w:jc w:val="both"/>
        <w:ind w:left="440" w:right="459" w:firstLine="1297"/>
        <w:spacing w:after="0" w:line="254" w:lineRule="auto"/>
        <w:tabs>
          <w:tab w:leader="none" w:pos="22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waiver set forth in </w:t>
      </w:r>
      <w:r>
        <w:rPr>
          <w:rFonts w:ascii="Times New Roman" w:cs="Times New Roman" w:eastAsia="Times New Roman" w:hAnsi="Times New Roman"/>
          <w:sz w:val="20"/>
          <w:szCs w:val="20"/>
          <w:u w:val="single" w:color="auto"/>
          <w:color w:val="auto"/>
        </w:rPr>
        <w:t>Section 1.1(b)</w:t>
      </w:r>
      <w:r>
        <w:rPr>
          <w:rFonts w:ascii="Times New Roman" w:cs="Times New Roman" w:eastAsia="Times New Roman" w:hAnsi="Times New Roman"/>
          <w:sz w:val="20"/>
          <w:szCs w:val="20"/>
          <w:color w:val="auto"/>
        </w:rPr>
        <w:t xml:space="preserve"> above shall not affect or limit any other Transfer restrictions applicable to Round Lot PubCo Ordinary Shares under applicable Law or under any other agreement to which a Company Shareholder may be a party.</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481330</wp:posOffset>
            </wp:positionV>
            <wp:extent cx="684911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54" w:name="page55"/>
    <w:bookmarkEnd w:id="54"/>
    <w:p>
      <w:pPr>
        <w:jc w:val="both"/>
        <w:ind w:left="440" w:right="459" w:firstLine="648"/>
        <w:spacing w:after="0" w:line="241"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Effect of Waiver</w:t>
      </w:r>
      <w:r>
        <w:rPr>
          <w:rFonts w:ascii="Times New Roman" w:cs="Times New Roman" w:eastAsia="Times New Roman" w:hAnsi="Times New Roman"/>
          <w:sz w:val="20"/>
          <w:szCs w:val="20"/>
          <w:color w:val="auto"/>
        </w:rPr>
        <w:t xml:space="preserve">. The Parties hereby acknowledge and agree that this Waiver Agreement and the waiver set out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above shall be effective as of the date hereof. This Waiver Agreement shall not constitute an amendment of, or supplement to, the Business Combination Agreement, and the Business Combination Agreement shall continue in full force and effect in accordance with its terms, as modified only by the waiver granted herein. This Waiver Agreement shall not constitute a waiver of any provision of the Business Combination Agreement or the Ancillary Documents other than as expressly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above, and shall not be construed as a waiver of, or consent to, any other action that would require a waiver or consent except as expressly stated herein. No failure or delay by any Party in exercising any right or remedy under the Business Combination Agreement (other than the right expressly waived hereby) shall operate as a waiver thereof, nor shall any single or partial exercise thereof preclude any other or further exercise of any other right thereunder. This Waiver Agreement is without prejudice to any rights or claims of any Party arising under the terms of the Business Combination Agreement or other Ancillary Documents before the date of this Waiver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94" w:lineRule="exact"/>
        <w:rPr>
          <w:sz w:val="20"/>
          <w:szCs w:val="20"/>
          <w:color w:val="auto"/>
        </w:rPr>
      </w:pPr>
    </w:p>
    <w:p>
      <w:pPr>
        <w:jc w:val="both"/>
        <w:ind w:left="440" w:right="459" w:firstLine="648"/>
        <w:spacing w:after="0" w:line="245"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Waiver Agreement together with the Business Combination Agreement and the other Ancillary Documents: (a) constitute the entire agreement among the Parties with respect to their subject matter and supersede all prior and current agreements and understandings, both written and oral, among the Parties with respect to their subject matter; and (b) are not intended to confer upon any other Person other than the Parties any rights or remedies, except as expressly provided in the Business Combination Agreement.</w:t>
      </w:r>
    </w:p>
    <w:p>
      <w:pPr>
        <w:spacing w:after="0" w:line="180" w:lineRule="exact"/>
        <w:rPr>
          <w:sz w:val="20"/>
          <w:szCs w:val="20"/>
          <w:color w:val="auto"/>
        </w:rPr>
      </w:pPr>
    </w:p>
    <w:p>
      <w:pPr>
        <w:jc w:val="both"/>
        <w:ind w:left="440" w:right="459" w:firstLine="648"/>
        <w:spacing w:after="0" w:line="247" w:lineRule="auto"/>
        <w:rPr>
          <w:sz w:val="20"/>
          <w:szCs w:val="20"/>
          <w:color w:val="auto"/>
        </w:rPr>
      </w:pPr>
      <w:r>
        <w:rPr>
          <w:rFonts w:ascii="Times New Roman" w:cs="Times New Roman" w:eastAsia="Times New Roman" w:hAnsi="Times New Roman"/>
          <w:sz w:val="20"/>
          <w:szCs w:val="20"/>
          <w:color w:val="auto"/>
        </w:rPr>
        <w:t>2.2.</w:t>
      </w:r>
      <w:r>
        <w:rPr>
          <w:rFonts w:ascii="Times New Roman" w:cs="Times New Roman" w:eastAsia="Times New Roman" w:hAnsi="Times New Roman"/>
          <w:sz w:val="20"/>
          <w:szCs w:val="20"/>
          <w:u w:val="single" w:color="auto"/>
          <w:color w:val="auto"/>
        </w:rPr>
        <w:t>Other Provisions</w:t>
      </w:r>
      <w:r>
        <w:rPr>
          <w:rFonts w:ascii="Times New Roman" w:cs="Times New Roman" w:eastAsia="Times New Roman" w:hAnsi="Times New Roman"/>
          <w:sz w:val="20"/>
          <w:szCs w:val="20"/>
          <w:color w:val="auto"/>
        </w:rPr>
        <w:t>. The provisions of Article XIII (</w:t>
      </w:r>
      <w:r>
        <w:rPr>
          <w:rFonts w:ascii="Times New Roman" w:cs="Times New Roman" w:eastAsia="Times New Roman" w:hAnsi="Times New Roman"/>
          <w:sz w:val="20"/>
          <w:szCs w:val="20"/>
          <w:i w:val="1"/>
          <w:iCs w:val="1"/>
          <w:color w:val="auto"/>
        </w:rPr>
        <w:t>Miscellaneous</w:t>
      </w:r>
      <w:r>
        <w:rPr>
          <w:rFonts w:ascii="Times New Roman" w:cs="Times New Roman" w:eastAsia="Times New Roman" w:hAnsi="Times New Roman"/>
          <w:sz w:val="20"/>
          <w:szCs w:val="20"/>
          <w:color w:val="auto"/>
        </w:rPr>
        <w:t>) of the Business Combination Agreement shall, to the extent not already set forth in this Waiver Agreement, apply mutatis mutandis to this Waiver Agreement, and to the Business Combination Agreement as modified by this Waiver Agreement, taken together as a single agreement, reflecting the terms as modified hereby.</w:t>
      </w:r>
    </w:p>
    <w:p>
      <w:pPr>
        <w:spacing w:after="0" w:line="184"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All expenses incurred in connection with this Waiver Agreement shall be paid by the Party incurring such expenses, subject to Section 11.3 of the Business Combination Agreement.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481330</wp:posOffset>
            </wp:positionV>
            <wp:extent cx="684911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5" w:name="page56"/>
    <w:bookmarkEnd w:id="55"/>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Agreement to the Business Combination Agreement to be executed as of the date first written above.</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CANTOR EQUITY PARTNERS III, INC.</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Jane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366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Jane Novak</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Agreement to the Business Combination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Agreement to the Business Combination Agreement to be executed as of the date first written above.</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AIR LIMITED</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3660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Stuart Brazier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Agreement to the Business Combination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Agreement to the Business Combination Agreement to be executed as of the date first written above.</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AIR HOLDINGS LIMITED</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3660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Stuart Brazier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Agreement to the Business Combination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Agreement to the Business Combination Agreement to be executed as of the date first written above.</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GENESIS CAYMAN MERGER SUB LIMITED</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Mary-Ann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3660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Mary-Ann Orr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Agreement to the Business Combination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9" w:name="page60"/>
    <w:bookmarkEnd w:id="59"/>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Agreement to the Business Combination Agreement to be executed as of the date first written above.</w:t>
      </w:r>
    </w:p>
    <w:p>
      <w:pPr>
        <w:spacing w:after="0" w:line="17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GENESIS JERSEY MERGER SUB LIMITED</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Mary-Ann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23660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 Mary-Ann Orr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Agreement to the Business Combination Agreement (Project Genesis)</w:t>
      </w:r>
      <w:r>
        <w:rPr>
          <w:rFonts w:ascii="Times New Roman" w:cs="Times New Roman" w:eastAsia="Times New Roman" w:hAnsi="Times New Roman"/>
          <w:sz w:val="20"/>
          <w:szCs w:val="20"/>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0" w:name="page61"/>
    <w:bookmarkEnd w:id="60"/>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4.4</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WAIVER AND RELEASE TO SPONSOR SUPPORT AGREEMENT</w:t>
      </w:r>
    </w:p>
    <w:p>
      <w:pPr>
        <w:spacing w:after="0" w:line="220" w:lineRule="exact"/>
        <w:rPr>
          <w:sz w:val="20"/>
          <w:szCs w:val="20"/>
          <w:color w:val="auto"/>
        </w:rPr>
      </w:pPr>
    </w:p>
    <w:p>
      <w:pPr>
        <w:jc w:val="both"/>
        <w:ind w:left="440" w:right="459" w:firstLine="648"/>
        <w:spacing w:after="0" w:line="242" w:lineRule="auto"/>
        <w:rPr>
          <w:sz w:val="20"/>
          <w:szCs w:val="20"/>
          <w:color w:val="auto"/>
        </w:rPr>
      </w:pPr>
      <w:r>
        <w:rPr>
          <w:rFonts w:ascii="Times New Roman" w:cs="Times New Roman" w:eastAsia="Times New Roman" w:hAnsi="Times New Roman"/>
          <w:sz w:val="20"/>
          <w:szCs w:val="20"/>
          <w:color w:val="auto"/>
        </w:rPr>
        <w:t>This WAIVER AND RELEASE TO SPONSOR SUPPORT AGREEMENT (this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and Release</w:t>
      </w:r>
      <w:r>
        <w:rPr>
          <w:rFonts w:ascii="Times New Roman" w:cs="Times New Roman" w:eastAsia="Times New Roman" w:hAnsi="Times New Roman"/>
          <w:sz w:val="20"/>
          <w:szCs w:val="20"/>
          <w:color w:val="auto"/>
        </w:rPr>
        <w:t>”) is dated as of May 15, 2026 and made by (1) CANTOR EQUITY PARTNERS III, INC., a Cayman Islands exempted company (“</w:t>
      </w:r>
      <w:r>
        <w:rPr>
          <w:rFonts w:ascii="Times New Roman" w:cs="Times New Roman" w:eastAsia="Times New Roman" w:hAnsi="Times New Roman"/>
          <w:sz w:val="20"/>
          <w:szCs w:val="20"/>
          <w:u w:val="single" w:color="auto"/>
          <w:color w:val="auto"/>
        </w:rPr>
        <w:t>SPAC</w:t>
      </w:r>
      <w:r>
        <w:rPr>
          <w:rFonts w:ascii="Times New Roman" w:cs="Times New Roman" w:eastAsia="Times New Roman" w:hAnsi="Times New Roman"/>
          <w:sz w:val="20"/>
          <w:szCs w:val="20"/>
          <w:color w:val="auto"/>
        </w:rPr>
        <w:t>”), (2) AIR LIMITED, a private limited company incorporated under the laws of Jersey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(3) AIR HOLDINGS LIMITED, a private limited company incorporated under the laws of Jersey (“</w:t>
      </w:r>
      <w:r>
        <w:rPr>
          <w:rFonts w:ascii="Times New Roman" w:cs="Times New Roman" w:eastAsia="Times New Roman" w:hAnsi="Times New Roman"/>
          <w:sz w:val="20"/>
          <w:szCs w:val="20"/>
          <w:u w:val="single" w:color="auto"/>
          <w:color w:val="auto"/>
        </w:rPr>
        <w:t>PubCo</w:t>
      </w:r>
      <w:r>
        <w:rPr>
          <w:rFonts w:ascii="Times New Roman" w:cs="Times New Roman" w:eastAsia="Times New Roman" w:hAnsi="Times New Roman"/>
          <w:sz w:val="20"/>
          <w:szCs w:val="20"/>
          <w:color w:val="auto"/>
        </w:rPr>
        <w:t>,” and together with SPAC and the Company, the “</w:t>
      </w:r>
      <w:r>
        <w:rPr>
          <w:rFonts w:ascii="Times New Roman" w:cs="Times New Roman" w:eastAsia="Times New Roman" w:hAnsi="Times New Roman"/>
          <w:sz w:val="20"/>
          <w:szCs w:val="20"/>
          <w:u w:val="single" w:color="auto"/>
          <w:color w:val="auto"/>
        </w:rPr>
        <w:t>Releasing Parties</w:t>
      </w:r>
      <w:r>
        <w:rPr>
          <w:rFonts w:ascii="Times New Roman" w:cs="Times New Roman" w:eastAsia="Times New Roman" w:hAnsi="Times New Roman"/>
          <w:sz w:val="20"/>
          <w:szCs w:val="20"/>
          <w:color w:val="auto"/>
        </w:rPr>
        <w:t>”) in favor of (4) CANTOR EP HOLDINGS III, LLC (“</w:t>
      </w:r>
      <w:r>
        <w:rPr>
          <w:rFonts w:ascii="Times New Roman" w:cs="Times New Roman" w:eastAsia="Times New Roman" w:hAnsi="Times New Roman"/>
          <w:sz w:val="20"/>
          <w:szCs w:val="20"/>
          <w:u w:val="single" w:color="auto"/>
          <w:color w:val="auto"/>
        </w:rPr>
        <w:t>Sponsor</w:t>
      </w:r>
      <w:r>
        <w:rPr>
          <w:rFonts w:ascii="Times New Roman" w:cs="Times New Roman" w:eastAsia="Times New Roman" w:hAnsi="Times New Roman"/>
          <w:sz w:val="20"/>
          <w:szCs w:val="20"/>
          <w:color w:val="auto"/>
        </w:rPr>
        <w:t>”). Each of SPAC, the Company, PubCo and Sponsor is individually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Capitalized terms used and not otherwise defined herein shall have the meanings assigned to them in that certain Sponsor Support Agreement, dated as of November 7, 2025, by and among the Parties (as amended from time to time, the “</w:t>
      </w:r>
      <w:r>
        <w:rPr>
          <w:rFonts w:ascii="Times New Roman" w:cs="Times New Roman" w:eastAsia="Times New Roman" w:hAnsi="Times New Roman"/>
          <w:sz w:val="20"/>
          <w:szCs w:val="20"/>
          <w:u w:val="single" w:color="auto"/>
          <w:color w:val="auto"/>
        </w:rPr>
        <w:t>Sponsor Support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20"/>
          <w:szCs w:val="20"/>
          <w:u w:val="single" w:color="auto"/>
          <w:color w:val="auto"/>
        </w:rPr>
        <w:t>WHEREAS</w:t>
      </w:r>
      <w:r>
        <w:rPr>
          <w:rFonts w:ascii="Times New Roman" w:cs="Times New Roman" w:eastAsia="Times New Roman" w:hAnsi="Times New Roman"/>
          <w:sz w:val="20"/>
          <w:szCs w:val="20"/>
          <w:color w:val="auto"/>
        </w:rPr>
        <w:t>, Section 14(f) (</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 of the Sponsor Support Agreement sets forth that the observance of any term of the Sponsor Support Agreement may be waived only with the written consent of the Party against whom enforcement of such waiver is sought; and</w:t>
      </w:r>
    </w:p>
    <w:p>
      <w:pPr>
        <w:spacing w:after="0" w:line="169" w:lineRule="exact"/>
        <w:rPr>
          <w:sz w:val="20"/>
          <w:szCs w:val="20"/>
          <w:color w:val="auto"/>
        </w:rPr>
      </w:pPr>
    </w:p>
    <w:p>
      <w:pPr>
        <w:jc w:val="both"/>
        <w:ind w:left="440" w:right="459" w:firstLine="648"/>
        <w:spacing w:after="0" w:line="250" w:lineRule="auto"/>
        <w:rPr>
          <w:sz w:val="20"/>
          <w:szCs w:val="20"/>
          <w:color w:val="auto"/>
        </w:rPr>
      </w:pPr>
      <w:r>
        <w:rPr>
          <w:rFonts w:ascii="Times New Roman" w:cs="Times New Roman" w:eastAsia="Times New Roman" w:hAnsi="Times New Roman"/>
          <w:sz w:val="20"/>
          <w:szCs w:val="20"/>
          <w:u w:val="single" w:color="auto"/>
          <w:color w:val="auto"/>
        </w:rPr>
        <w:t>WHEREAS</w:t>
      </w:r>
      <w:r>
        <w:rPr>
          <w:rFonts w:ascii="Times New Roman" w:cs="Times New Roman" w:eastAsia="Times New Roman" w:hAnsi="Times New Roman"/>
          <w:sz w:val="20"/>
          <w:szCs w:val="20"/>
          <w:color w:val="auto"/>
        </w:rPr>
        <w:t>, in accordance with Section 14(f) (</w:t>
      </w:r>
      <w:r>
        <w:rPr>
          <w:rFonts w:ascii="Times New Roman" w:cs="Times New Roman" w:eastAsia="Times New Roman" w:hAnsi="Times New Roman"/>
          <w:sz w:val="20"/>
          <w:szCs w:val="20"/>
          <w:i w:val="1"/>
          <w:iCs w:val="1"/>
          <w:color w:val="auto"/>
        </w:rPr>
        <w:t>Amendments and Waivers</w:t>
      </w:r>
      <w:r>
        <w:rPr>
          <w:rFonts w:ascii="Times New Roman" w:cs="Times New Roman" w:eastAsia="Times New Roman" w:hAnsi="Times New Roman"/>
          <w:sz w:val="20"/>
          <w:szCs w:val="20"/>
          <w:color w:val="auto"/>
        </w:rPr>
        <w:t>) of the Sponsor Support Agreement, the Releasing Parties desire to waive their rights to enforce certain provisions of the Sponsor Support Agreement and to release Sponsor from compliance with respect to those obligations, in each case, as set forth in this Waiver and Release.</w:t>
      </w:r>
    </w:p>
    <w:p>
      <w:pPr>
        <w:spacing w:after="0" w:line="180"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20"/>
          <w:szCs w:val="20"/>
          <w:u w:val="single" w:color="auto"/>
          <w:color w:val="auto"/>
        </w:rPr>
        <w:t>NOW, THEREFORE</w:t>
      </w:r>
      <w:r>
        <w:rPr>
          <w:rFonts w:ascii="Times New Roman" w:cs="Times New Roman" w:eastAsia="Times New Roman" w:hAnsi="Times New Roman"/>
          <w:sz w:val="20"/>
          <w:szCs w:val="20"/>
          <w:color w:val="auto"/>
        </w:rPr>
        <w:t>, in consideration of the covenants, promises and representations set forth herein, and for other good and valuable consideration, the receipt and sufficiency of which are hereby acknowledged, the Parties agree as follows: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WAIVERS AND RELEASES</w:t>
      </w:r>
    </w:p>
    <w:p>
      <w:pPr>
        <w:spacing w:after="0" w:line="194" w:lineRule="exact"/>
        <w:rPr>
          <w:sz w:val="20"/>
          <w:szCs w:val="20"/>
          <w:color w:val="auto"/>
        </w:rPr>
      </w:pPr>
    </w:p>
    <w:p>
      <w:pPr>
        <w:jc w:val="both"/>
        <w:ind w:left="440" w:right="459" w:firstLine="648"/>
        <w:spacing w:after="0" w:line="242"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Waiver and Release</w:t>
      </w:r>
      <w:r>
        <w:rPr>
          <w:rFonts w:ascii="Times New Roman" w:cs="Times New Roman" w:eastAsia="Times New Roman" w:hAnsi="Times New Roman"/>
          <w:sz w:val="20"/>
          <w:szCs w:val="20"/>
          <w:color w:val="auto"/>
        </w:rPr>
        <w:t>. Effective immediately upon and subject to the Cayman Closing, the provisions of Sections 9(a), 9(b), 9(c) and 9(d) of the Sponsor Support Agreement (collectively, the “</w:t>
      </w:r>
      <w:r>
        <w:rPr>
          <w:rFonts w:ascii="Times New Roman" w:cs="Times New Roman" w:eastAsia="Times New Roman" w:hAnsi="Times New Roman"/>
          <w:sz w:val="20"/>
          <w:szCs w:val="20"/>
          <w:u w:val="single" w:color="auto"/>
          <w:color w:val="auto"/>
        </w:rPr>
        <w:t>Lock-Up Restrictions</w:t>
      </w:r>
      <w:r>
        <w:rPr>
          <w:rFonts w:ascii="Times New Roman" w:cs="Times New Roman" w:eastAsia="Times New Roman" w:hAnsi="Times New Roman"/>
          <w:sz w:val="20"/>
          <w:szCs w:val="20"/>
          <w:color w:val="auto"/>
        </w:rPr>
        <w:t>”) are hereby waived by the Releasing Parties, and Sponsor is forever released from compliance with such Lock-Up Restrictions and the obligations contemplated thereby, in each case, as such restrictions and obligations relate to 1,000,000 of the PubCo Ordinary Shares issued to Sponsor at the Cayman Closing into which the Founder Shares are converted pursuant to Section 3.1(a)(iii) of the BCA (the “</w:t>
      </w:r>
      <w:r>
        <w:rPr>
          <w:rFonts w:ascii="Times New Roman" w:cs="Times New Roman" w:eastAsia="Times New Roman" w:hAnsi="Times New Roman"/>
          <w:sz w:val="20"/>
          <w:szCs w:val="20"/>
          <w:u w:val="single" w:color="auto"/>
          <w:color w:val="auto"/>
        </w:rPr>
        <w:t>Released Lock-Up Shares</w:t>
      </w:r>
      <w:r>
        <w:rPr>
          <w:rFonts w:ascii="Times New Roman" w:cs="Times New Roman" w:eastAsia="Times New Roman" w:hAnsi="Times New Roman"/>
          <w:sz w:val="20"/>
          <w:szCs w:val="20"/>
          <w:color w:val="auto"/>
        </w:rPr>
        <w:t>”). For the avoidance of doubt, any PubCo Ordinary Shares issued to Sponsor at the Cayman Closing into which the Founder Shares are converted pursuant to Section 3.1(a)(iii) of the BCA that is not a Released Lock-Up Share shall remain subject to the Lock-Up Restrictions in full.</w:t>
      </w:r>
    </w:p>
    <w:p>
      <w:pPr>
        <w:spacing w:after="0" w:line="192" w:lineRule="exact"/>
        <w:rPr>
          <w:sz w:val="20"/>
          <w:szCs w:val="20"/>
          <w:color w:val="auto"/>
        </w:rPr>
      </w:pPr>
    </w:p>
    <w:p>
      <w:pPr>
        <w:jc w:val="both"/>
        <w:ind w:left="440" w:right="459" w:firstLine="648"/>
        <w:spacing w:after="0" w:line="249"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Each of the Parties hereby acknowledges and agrees that, by execution of this Waiver and Release, such Party is consenting, for all purposes under the terms of the BCA and the other Ancillary Documents and any other instrument or agreement referred to therein, to each of the other Party’s entry into, and to the actions taken in accordance with, this Waiver and Release.</w:t>
      </w:r>
    </w:p>
    <w:p>
      <w:pPr>
        <w:spacing w:after="0" w:line="180" w:lineRule="exact"/>
        <w:rPr>
          <w:sz w:val="20"/>
          <w:szCs w:val="20"/>
          <w:color w:val="auto"/>
        </w:rPr>
      </w:pPr>
    </w:p>
    <w:p>
      <w:pPr>
        <w:jc w:val="both"/>
        <w:ind w:left="440" w:right="459" w:firstLine="648"/>
        <w:spacing w:after="0" w:line="243"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Effect of Waiver</w:t>
      </w:r>
      <w:r>
        <w:rPr>
          <w:rFonts w:ascii="Times New Roman" w:cs="Times New Roman" w:eastAsia="Times New Roman" w:hAnsi="Times New Roman"/>
          <w:sz w:val="20"/>
          <w:szCs w:val="20"/>
          <w:color w:val="auto"/>
        </w:rPr>
        <w:t>. The Parties hereby acknowledge and agree that this Waiver and Release shall be effective immediately upon and subject to the Cayman Closing. Without limiting the generality of Section 14(f) of the Sponsor Support Agreement, the waivers and releases set forth above shall be limited to the Lock-Up Restrictions and the Released Lock-Up Shares in the manner and to the extent described above, and nothing in this Waiver and Release shall be deemed to constitute a waiver or release by the Releasing Parties of compliance with respect to any other term, provision, or condition of the Sponsor Support Agreement, the BCA or any other Ancillary Document, or any other instrument or agreement referred to therein.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481330</wp:posOffset>
            </wp:positionV>
            <wp:extent cx="684911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09" w:right="1440" w:bottom="82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94" w:lineRule="exact"/>
        <w:rPr>
          <w:sz w:val="20"/>
          <w:szCs w:val="20"/>
          <w:color w:val="auto"/>
        </w:rPr>
      </w:pPr>
    </w:p>
    <w:p>
      <w:pPr>
        <w:jc w:val="both"/>
        <w:ind w:left="440" w:right="459" w:firstLine="648"/>
        <w:spacing w:after="0" w:line="249"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Waiver and Release may be executed and delivered (including by facsimile, email or other electronic transmission) in one or more counterparts, and by the different Parties in separate counterparts, each of which when executed shall be deemed to be an original but all of which taken together shall constitute one and the same agreement.</w:t>
      </w:r>
    </w:p>
    <w:p>
      <w:pPr>
        <w:spacing w:after="0" w:line="180" w:lineRule="exact"/>
        <w:rPr>
          <w:sz w:val="20"/>
          <w:szCs w:val="20"/>
          <w:color w:val="auto"/>
        </w:rPr>
      </w:pPr>
    </w:p>
    <w:p>
      <w:pPr>
        <w:jc w:val="both"/>
        <w:ind w:left="440" w:right="459" w:firstLine="648"/>
        <w:spacing w:after="0" w:line="244" w:lineRule="auto"/>
        <w:rPr>
          <w:sz w:val="20"/>
          <w:szCs w:val="20"/>
          <w:color w:val="auto"/>
        </w:rPr>
      </w:pPr>
      <w:r>
        <w:rPr>
          <w:rFonts w:ascii="Times New Roman" w:cs="Times New Roman" w:eastAsia="Times New Roman" w:hAnsi="Times New Roman"/>
          <w:sz w:val="20"/>
          <w:szCs w:val="20"/>
          <w:color w:val="auto"/>
        </w:rPr>
        <w:t>2.2.</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Waiver and Release (together with the other Ancillary Documents, the BCA and each of the other documents and the instruments referred to in the Sponsor Support Agreement, to the extent incorporated in the Sponsor Support Agreement): (a) constitute the entire agreement among the Parties with respect to their subject matter and supersede all prior and current agreements and understandings, both written and oral, among the Parties with respect to their subject matter; and (b) are not intended to confer upon any other Person other than the Parties any rights or remedies, except as expressly provided in the Sponsor Support Agreement.</w:t>
      </w:r>
    </w:p>
    <w:p>
      <w:pPr>
        <w:spacing w:after="0" w:line="182"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Other Provisions</w:t>
      </w:r>
      <w:r>
        <w:rPr>
          <w:rFonts w:ascii="Times New Roman" w:cs="Times New Roman" w:eastAsia="Times New Roman" w:hAnsi="Times New Roman"/>
          <w:sz w:val="20"/>
          <w:szCs w:val="20"/>
          <w:color w:val="auto"/>
        </w:rPr>
        <w:t>. The provisions of Section 14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xml:space="preserve">) of the Sponsor Support Agreement shall, to the extent not already set forth in this Waiver and Release, apply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mutandis </w:t>
      </w:r>
      <w:r>
        <w:rPr>
          <w:rFonts w:ascii="Times New Roman" w:cs="Times New Roman" w:eastAsia="Times New Roman" w:hAnsi="Times New Roman"/>
          <w:sz w:val="20"/>
          <w:szCs w:val="20"/>
          <w:color w:val="auto"/>
        </w:rPr>
        <w:t>to this Waiver and Release.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481330</wp:posOffset>
            </wp:positionV>
            <wp:extent cx="684911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62" w:name="page63"/>
    <w:bookmarkEnd w:id="62"/>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and Release to Sponsor Support Agreement to be executed as of the date first written above.</w:t>
      </w:r>
    </w:p>
    <w:p>
      <w:pPr>
        <w:spacing w:after="0" w:line="16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SPAC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CANTOR EQUITY PARTNERS III, INC.</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Jane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13970</wp:posOffset>
            </wp:positionV>
            <wp:extent cx="23571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Jane Novak</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SPONSOR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CANTOR EP HOLDINGS III, LLC</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Jane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13970</wp:posOffset>
            </wp:positionV>
            <wp:extent cx="23571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Jane Novak</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and Release to Sponsor Support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3" w:name="page64"/>
    <w:bookmarkEnd w:id="63"/>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and Release to Sponsor Support Agreement to be executed as of the date first written above.</w:t>
      </w:r>
    </w:p>
    <w:p>
      <w:pPr>
        <w:spacing w:after="0" w:line="16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AIR LIMITED</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13970</wp:posOffset>
            </wp:positionV>
            <wp:extent cx="2331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Stuart Brazier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and Release to Sponsor Support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4" w:name="page65"/>
    <w:bookmarkEnd w:id="64"/>
    <w:p>
      <w:pPr>
        <w:ind w:left="440" w:right="4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Waiver and Release to Sponsor Support Agreement to be executed as of the date first written above.</w:t>
      </w:r>
    </w:p>
    <w:p>
      <w:pPr>
        <w:spacing w:after="0" w:line="16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AIR HOLDINGS LIMITED</w:t>
      </w: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Stuart Brazier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13970</wp:posOffset>
            </wp:positionV>
            <wp:extent cx="2331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Stuart Brazier</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Waiver and Release to Sponsor Support Agreement (Project Genesis)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483870</wp:posOffset>
            </wp:positionV>
            <wp:extent cx="684911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5" w:name="page66"/>
    <w:bookmarkEnd w:id="65"/>
    <w:p>
      <w:pPr>
        <w:ind w:left="7700"/>
        <w:spacing w:after="0"/>
        <w:rPr>
          <w:sz w:val="20"/>
          <w:szCs w:val="20"/>
          <w:color w:val="auto"/>
        </w:rPr>
      </w:pPr>
      <w:r>
        <w:rPr>
          <w:rFonts w:ascii="Times New Roman" w:cs="Times New Roman" w:eastAsia="Times New Roman" w:hAnsi="Times New Roman"/>
          <w:sz w:val="21"/>
          <w:szCs w:val="21"/>
          <w:b w:val="1"/>
          <w:bCs w:val="1"/>
          <w:color w:val="181818"/>
        </w:rPr>
        <w:t>Exhibit 4.5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REGISTRATION RIGHTS AGREEMENT</w:t>
      </w:r>
    </w:p>
    <w:p>
      <w:pPr>
        <w:spacing w:after="0" w:line="210"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THIS AMENDED AND RESTATED REGISTRATION RIGHTS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May 15, 2026, is made and entered into by and among AIR Global plc (formerly known as AIR Holdings Limited), a public limited company organized under the laws of Jersey (“</w:t>
      </w:r>
      <w:r>
        <w:rPr>
          <w:rFonts w:ascii="Times New Roman" w:cs="Times New Roman" w:eastAsia="Times New Roman" w:hAnsi="Times New Roman"/>
          <w:sz w:val="22"/>
          <w:szCs w:val="22"/>
          <w:b w:val="1"/>
          <w:bCs w:val="1"/>
          <w:i w:val="1"/>
          <w:iCs w:val="1"/>
          <w:color w:val="auto"/>
        </w:rPr>
        <w:t>PubCo</w:t>
      </w:r>
      <w:r>
        <w:rPr>
          <w:rFonts w:ascii="Times New Roman" w:cs="Times New Roman" w:eastAsia="Times New Roman" w:hAnsi="Times New Roman"/>
          <w:sz w:val="22"/>
          <w:szCs w:val="22"/>
          <w:color w:val="auto"/>
        </w:rPr>
        <w:t>”), Cantor Equity Partners III, Inc., a Cayman Islands exempted company (“</w:t>
      </w:r>
      <w:r>
        <w:rPr>
          <w:rFonts w:ascii="Times New Roman" w:cs="Times New Roman" w:eastAsia="Times New Roman" w:hAnsi="Times New Roman"/>
          <w:sz w:val="22"/>
          <w:szCs w:val="22"/>
          <w:b w:val="1"/>
          <w:bCs w:val="1"/>
          <w:i w:val="1"/>
          <w:iCs w:val="1"/>
          <w:color w:val="auto"/>
        </w:rPr>
        <w:t>SPAC</w:t>
      </w:r>
      <w:r>
        <w:rPr>
          <w:rFonts w:ascii="Times New Roman" w:cs="Times New Roman" w:eastAsia="Times New Roman" w:hAnsi="Times New Roman"/>
          <w:sz w:val="22"/>
          <w:szCs w:val="22"/>
          <w:color w:val="auto"/>
        </w:rPr>
        <w:t>”), Cantor EP Holdings III, LLC, a Delaware limited liability company (“</w:t>
      </w:r>
      <w:r>
        <w:rPr>
          <w:rFonts w:ascii="Times New Roman" w:cs="Times New Roman" w:eastAsia="Times New Roman" w:hAnsi="Times New Roman"/>
          <w:sz w:val="22"/>
          <w:szCs w:val="22"/>
          <w:b w:val="1"/>
          <w:bCs w:val="1"/>
          <w:i w:val="1"/>
          <w:iCs w:val="1"/>
          <w:color w:val="auto"/>
        </w:rPr>
        <w:t>Sponsor</w:t>
      </w:r>
      <w:r>
        <w:rPr>
          <w:rFonts w:ascii="Times New Roman" w:cs="Times New Roman" w:eastAsia="Times New Roman" w:hAnsi="Times New Roman"/>
          <w:sz w:val="22"/>
          <w:szCs w:val="22"/>
          <w:color w:val="auto"/>
        </w:rPr>
        <w:t>”), and each of the undersigned holders listed on the signature pages hereto under the heading “Specified Holders” (such persons, the “</w:t>
      </w:r>
      <w:r>
        <w:rPr>
          <w:rFonts w:ascii="Times New Roman" w:cs="Times New Roman" w:eastAsia="Times New Roman" w:hAnsi="Times New Roman"/>
          <w:sz w:val="22"/>
          <w:szCs w:val="22"/>
          <w:b w:val="1"/>
          <w:bCs w:val="1"/>
          <w:i w:val="1"/>
          <w:iCs w:val="1"/>
          <w:color w:val="auto"/>
        </w:rPr>
        <w:t>Specified Holders</w:t>
      </w:r>
      <w:r>
        <w:rPr>
          <w:rFonts w:ascii="Times New Roman" w:cs="Times New Roman" w:eastAsia="Times New Roman" w:hAnsi="Times New Roman"/>
          <w:sz w:val="22"/>
          <w:szCs w:val="22"/>
          <w:color w:val="auto"/>
        </w:rPr>
        <w:t xml:space="preserve">” and, together with Sponsor and any person or entity who hereafter becomes a party to this Agreement pursuant to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of this Agreement, each a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i w:val="1"/>
          <w:iCs w:val="1"/>
          <w:color w:val="auto"/>
        </w:rPr>
        <w:t>Holders</w:t>
      </w:r>
      <w:r>
        <w:rPr>
          <w:rFonts w:ascii="Times New Roman" w:cs="Times New Roman" w:eastAsia="Times New Roman" w:hAnsi="Times New Roman"/>
          <w:sz w:val="22"/>
          <w:szCs w:val="22"/>
          <w:color w:val="auto"/>
        </w:rPr>
        <w:t>”). Capitalized terms used and not otherwise defined herein shall have the same meanings set forth in the Business Combination Agreement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left="300" w:right="31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June 25, 2025, SPAC and Sponsor entered into that certain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Agreement (the “</w:t>
      </w:r>
      <w:r>
        <w:rPr>
          <w:rFonts w:ascii="Times New Roman" w:cs="Times New Roman" w:eastAsia="Times New Roman" w:hAnsi="Times New Roman"/>
          <w:sz w:val="22"/>
          <w:szCs w:val="22"/>
          <w:b w:val="1"/>
          <w:bCs w:val="1"/>
          <w:i w:val="1"/>
          <w:iCs w:val="1"/>
          <w:color w:val="auto"/>
        </w:rPr>
        <w:t>Original Registration Rights 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300" w:right="299"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November 7, 2025, PubCo (at such time, a private limited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under the laws of Jersey), SPAC, AIR Limited, a private limited company organized under the laws of Jersey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Genesis Cayman Merger Sub Limited, a Cayman Islands exempted company and a wholly-owned subsidiary of PubCo (“</w:t>
      </w:r>
      <w:r>
        <w:rPr>
          <w:rFonts w:ascii="Times New Roman" w:cs="Times New Roman" w:eastAsia="Times New Roman" w:hAnsi="Times New Roman"/>
          <w:sz w:val="22"/>
          <w:szCs w:val="22"/>
          <w:b w:val="1"/>
          <w:bCs w:val="1"/>
          <w:i w:val="1"/>
          <w:iCs w:val="1"/>
          <w:color w:val="auto"/>
        </w:rPr>
        <w:t>Cayman Merger Sub</w:t>
      </w:r>
      <w:r>
        <w:rPr>
          <w:rFonts w:ascii="Times New Roman" w:cs="Times New Roman" w:eastAsia="Times New Roman" w:hAnsi="Times New Roman"/>
          <w:sz w:val="22"/>
          <w:szCs w:val="22"/>
          <w:color w:val="auto"/>
        </w:rPr>
        <w:t>”), and Genesis Jersey Merger Sub Limited, a private limited company organized under the laws of Jersey and a wholly-owned subsidiary of PubCo (“</w:t>
      </w:r>
      <w:r>
        <w:rPr>
          <w:rFonts w:ascii="Times New Roman" w:cs="Times New Roman" w:eastAsia="Times New Roman" w:hAnsi="Times New Roman"/>
          <w:sz w:val="22"/>
          <w:szCs w:val="22"/>
          <w:b w:val="1"/>
          <w:bCs w:val="1"/>
          <w:i w:val="1"/>
          <w:iCs w:val="1"/>
          <w:color w:val="auto"/>
        </w:rPr>
        <w:t>Jersey Merger Sub</w:t>
      </w:r>
      <w:r>
        <w:rPr>
          <w:rFonts w:ascii="Times New Roman" w:cs="Times New Roman" w:eastAsia="Times New Roman" w:hAnsi="Times New Roman"/>
          <w:sz w:val="22"/>
          <w:szCs w:val="22"/>
          <w:color w:val="auto"/>
        </w:rPr>
        <w:t>”), entered into that certain Business Combination Agreement (as may be amended from time to time,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Combination Agreement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Business Combination Agreement, upon and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thereof and in accordance with applicable law, among other matters, upon the consummation of the transactions contemplated by the Business Combination Agreement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(a) Cayman Merger Sub will merge with and into SPAC (the “</w:t>
      </w:r>
      <w:r>
        <w:rPr>
          <w:rFonts w:ascii="Times New Roman" w:cs="Times New Roman" w:eastAsia="Times New Roman" w:hAnsi="Times New Roman"/>
          <w:sz w:val="22"/>
          <w:szCs w:val="22"/>
          <w:b w:val="1"/>
          <w:bCs w:val="1"/>
          <w:i w:val="1"/>
          <w:iCs w:val="1"/>
          <w:color w:val="auto"/>
        </w:rPr>
        <w:t>Cayman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Merger</w:t>
      </w:r>
      <w:r>
        <w:rPr>
          <w:rFonts w:ascii="Times New Roman" w:cs="Times New Roman" w:eastAsia="Times New Roman" w:hAnsi="Times New Roman"/>
          <w:sz w:val="22"/>
          <w:szCs w:val="22"/>
          <w:color w:val="auto"/>
        </w:rPr>
        <w:t>”), with SPAC continuing as the surviving entity, and with the holders of SPAC Ordinary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Shares, including Sponsor, receiving PubCo Ordinary Shares; (b) Jersey Merger Sub will merge with and into the Company (the “</w:t>
      </w:r>
      <w:r>
        <w:rPr>
          <w:rFonts w:ascii="Times New Roman" w:cs="Times New Roman" w:eastAsia="Times New Roman" w:hAnsi="Times New Roman"/>
          <w:sz w:val="22"/>
          <w:szCs w:val="22"/>
          <w:b w:val="1"/>
          <w:bCs w:val="1"/>
          <w:i w:val="1"/>
          <w:iCs w:val="1"/>
          <w:color w:val="auto"/>
        </w:rPr>
        <w:t>Jersey Merger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and, together with the Cayman Merger, the “</w:t>
      </w:r>
      <w:r>
        <w:rPr>
          <w:rFonts w:ascii="Times New Roman" w:cs="Times New Roman" w:eastAsia="Times New Roman" w:hAnsi="Times New Roman"/>
          <w:sz w:val="22"/>
          <w:szCs w:val="22"/>
          <w:b w:val="1"/>
          <w:bCs w:val="1"/>
          <w:i w:val="1"/>
          <w:iCs w:val="1"/>
          <w:color w:val="auto"/>
        </w:rPr>
        <w:t>Mergers</w:t>
      </w:r>
      <w:r>
        <w:rPr>
          <w:rFonts w:ascii="Times New Roman" w:cs="Times New Roman" w:eastAsia="Times New Roman" w:hAnsi="Times New Roman"/>
          <w:sz w:val="22"/>
          <w:szCs w:val="22"/>
          <w:color w:val="auto"/>
        </w:rPr>
        <w:t>”), with the Company continuing as the surviving entity, and with the holders of ordinary shares of the Company, with a par value of $19.7456 per share, receiving PubCo Ordinary Shares; and (c) as a result of the Mergers and the other transactions contemplated by the Business Combination Agreement, among other matters, SPAC and the Company will become wholly-owned subsidiaries of PubCo, and PubCo will become a publicly traded company;</w:t>
      </w:r>
    </w:p>
    <w:p>
      <w:pPr>
        <w:spacing w:after="0" w:line="18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Section 5.5 of the Original Registration Rights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covenants, and conditions set forth therein may be amended or modified upon the written consent of SPAC and the holders of at least a majority in interest of the Registrable Securities (as defined in the Original Registration Rights Agreement) at the time in question,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66" w:name="page67"/>
    <w:bookmarkEnd w:id="66"/>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Sponsor is holder of at least a majority in interest of the Registrable Securities (as defined in the Original Registration Rights Agreement) as of the date hereof; and</w:t>
      </w:r>
    </w:p>
    <w:p>
      <w:pPr>
        <w:spacing w:after="0" w:line="15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SPAC and Sponsor desire to amend and restate the Original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Agreement in its entirety and enter into this Agreement, pursuant to which PubCo shall grant Holders certain registration rights with respect to certain securities of PubCo as set forth in this Agreement and terminate the Original Registration Rights Agreement.</w:t>
      </w:r>
    </w:p>
    <w:p>
      <w:pPr>
        <w:spacing w:after="0" w:line="17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representations,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contained herein, and certain other good and valuable consideration, the receipt and sufficiency of which are hereby acknowledged, the parties hereto, intending to be legally bound,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The terms defined in this </w:t>
      </w:r>
      <w:r>
        <w:rPr>
          <w:rFonts w:ascii="Times New Roman" w:cs="Times New Roman" w:eastAsia="Times New Roman" w:hAnsi="Times New Roman"/>
          <w:sz w:val="22"/>
          <w:szCs w:val="22"/>
          <w:i w:val="1"/>
          <w:iCs w:val="1"/>
          <w:u w:val="single" w:color="auto"/>
          <w:color w:val="auto"/>
        </w:rPr>
        <w:t>Article I</w:t>
      </w:r>
      <w:r>
        <w:rPr>
          <w:rFonts w:ascii="Times New Roman" w:cs="Times New Roman" w:eastAsia="Times New Roman" w:hAnsi="Times New Roman"/>
          <w:sz w:val="22"/>
          <w:szCs w:val="22"/>
          <w:color w:val="auto"/>
        </w:rPr>
        <w:t xml:space="preserve"> shall, for all purposes of this</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Agreement, have the respective meanings set forth below:</w:t>
      </w:r>
    </w:p>
    <w:p>
      <w:pPr>
        <w:spacing w:after="0" w:line="176" w:lineRule="exact"/>
        <w:rPr>
          <w:sz w:val="20"/>
          <w:szCs w:val="20"/>
          <w:color w:val="auto"/>
        </w:rPr>
      </w:pPr>
    </w:p>
    <w:p>
      <w:pPr>
        <w:jc w:val="both"/>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Adverse Disclosure</w:t>
      </w:r>
      <w:r>
        <w:rPr>
          <w:rFonts w:ascii="Times New Roman" w:cs="Times New Roman" w:eastAsia="Times New Roman" w:hAnsi="Times New Roman"/>
          <w:sz w:val="22"/>
          <w:szCs w:val="22"/>
          <w:color w:val="auto"/>
        </w:rPr>
        <w:t>” shall mean any public disclosure of material non-public information, which disclosure, in the good faith judgment of the Chief Executive Officer or principal financial officer of PubCo,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bona fide business purpose for not making such information public.</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shall have the meaning given in the Preamble.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PubCo.</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Business Combination Agreement</w:t>
      </w:r>
      <w:r>
        <w:rPr>
          <w:rFonts w:ascii="Times New Roman" w:cs="Times New Roman" w:eastAsia="Times New Roman" w:hAnsi="Times New Roman"/>
          <w:sz w:val="21"/>
          <w:szCs w:val="21"/>
          <w:color w:val="auto"/>
        </w:rPr>
        <w:t>” shall have the meaning given in the Recitals hereto.</w:t>
      </w:r>
    </w:p>
    <w:p>
      <w:pPr>
        <w:spacing w:after="0" w:line="2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Cayman Merger</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Cayman Merger Sub</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Class A Ordinary Shares</w:t>
      </w:r>
      <w:r>
        <w:rPr>
          <w:rFonts w:ascii="Times New Roman" w:cs="Times New Roman" w:eastAsia="Times New Roman" w:hAnsi="Times New Roman"/>
          <w:sz w:val="22"/>
          <w:szCs w:val="22"/>
          <w:color w:val="auto"/>
        </w:rPr>
        <w:t>” shall mean Class A ordinary shares of SPAC, par value $0.0001 per share.</w:t>
      </w:r>
    </w:p>
    <w:p>
      <w:pPr>
        <w:spacing w:after="0" w:line="145" w:lineRule="exact"/>
        <w:rPr>
          <w:sz w:val="20"/>
          <w:szCs w:val="20"/>
          <w:color w:val="auto"/>
        </w:rPr>
      </w:pPr>
    </w:p>
    <w:p>
      <w:pPr>
        <w:ind w:left="300" w:right="31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Class B Ordinary Shares</w:t>
      </w:r>
      <w:r>
        <w:rPr>
          <w:rFonts w:ascii="Times New Roman" w:cs="Times New Roman" w:eastAsia="Times New Roman" w:hAnsi="Times New Roman"/>
          <w:sz w:val="22"/>
          <w:szCs w:val="22"/>
          <w:color w:val="auto"/>
        </w:rPr>
        <w:t>” shall mean Class B ordinary shares of SPAC, par value $0.0001 per share.</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shall have the meaning given in the Recitals hereto.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67" w:name="page68"/>
    <w:bookmarkEnd w:id="67"/>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shall mean the date of the Closing.</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shall mean the U.S. Securities and Exchange Commission.</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Demand Registration</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u w:val="single" w:color="auto"/>
          <w:color w:val="auto"/>
        </w:rPr>
        <w:t>subsection 2.1.1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Demanding Holders</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u w:val="single" w:color="auto"/>
          <w:color w:val="auto"/>
        </w:rPr>
        <w:t>subsection 2.1.1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shall mean the Securities Exchange Act of 1934, as amended from time to time.</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Filing Deadline</w:t>
      </w:r>
      <w:r>
        <w:rPr>
          <w:rFonts w:ascii="Times New Roman" w:cs="Times New Roman" w:eastAsia="Times New Roman" w:hAnsi="Times New Roman"/>
          <w:sz w:val="22"/>
          <w:szCs w:val="22"/>
          <w:color w:val="auto"/>
        </w:rPr>
        <w:t>” shall have the meaning given in subsection 2.3.1.</w:t>
      </w:r>
    </w:p>
    <w:p>
      <w:pPr>
        <w:spacing w:after="0" w:line="206"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Form F-1</w:t>
      </w:r>
      <w:r>
        <w:rPr>
          <w:rFonts w:ascii="Times New Roman" w:cs="Times New Roman" w:eastAsia="Times New Roman" w:hAnsi="Times New Roman"/>
          <w:sz w:val="22"/>
          <w:szCs w:val="22"/>
          <w:color w:val="auto"/>
        </w:rPr>
        <w:t>” means a Registration Statement on Form F-1 or any comparable successor form or forms thereto.</w:t>
      </w:r>
    </w:p>
    <w:p>
      <w:pPr>
        <w:spacing w:after="0" w:line="145"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Form F-3</w:t>
      </w:r>
      <w:r>
        <w:rPr>
          <w:rFonts w:ascii="Times New Roman" w:cs="Times New Roman" w:eastAsia="Times New Roman" w:hAnsi="Times New Roman"/>
          <w:sz w:val="22"/>
          <w:szCs w:val="22"/>
          <w:color w:val="auto"/>
        </w:rPr>
        <w:t>” means a Registration Statement on Form F-3 or any comparable successor form or forms thereto.</w:t>
      </w:r>
    </w:p>
    <w:p>
      <w:pPr>
        <w:spacing w:after="0" w:line="14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Founder Shares</w:t>
      </w:r>
      <w:r>
        <w:rPr>
          <w:rFonts w:ascii="Times New Roman" w:cs="Times New Roman" w:eastAsia="Times New Roman" w:hAnsi="Times New Roman"/>
          <w:sz w:val="22"/>
          <w:szCs w:val="22"/>
          <w:color w:val="auto"/>
        </w:rPr>
        <w:t>” shall mean PubCo Ordinary Shares issued to Sponsor in the Cayman Merger in exchange for the Class A Ordinary Shares issued to Sponsor upon conversion of the Class B Ordinary Shares held by Sponsor immediately prior to the Cayman Merger in accordance with SPAC’s amended and restated memorandum and articles of association.</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Holders</w:t>
      </w:r>
      <w:r>
        <w:rPr>
          <w:rFonts w:ascii="Times New Roman" w:cs="Times New Roman" w:eastAsia="Times New Roman" w:hAnsi="Times New Roman"/>
          <w:sz w:val="22"/>
          <w:szCs w:val="22"/>
          <w:color w:val="auto"/>
        </w:rPr>
        <w:t>” shall have the meaning given in the Preamble.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Jersey Merger</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Jersey Merger Sub</w:t>
      </w:r>
      <w:r>
        <w:rPr>
          <w:rFonts w:ascii="Times New Roman" w:cs="Times New Roman" w:eastAsia="Times New Roman" w:hAnsi="Times New Roman"/>
          <w:sz w:val="22"/>
          <w:szCs w:val="22"/>
          <w:color w:val="auto"/>
        </w:rPr>
        <w:t>” shall have the meaning given in the Recitals.</w:t>
      </w:r>
    </w:p>
    <w:p>
      <w:pPr>
        <w:spacing w:after="0" w:line="20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Lock-Up Period</w:t>
      </w:r>
      <w:r>
        <w:rPr>
          <w:rFonts w:ascii="Times New Roman" w:cs="Times New Roman" w:eastAsia="Times New Roman" w:hAnsi="Times New Roman"/>
          <w:sz w:val="22"/>
          <w:szCs w:val="22"/>
          <w:color w:val="auto"/>
        </w:rPr>
        <w:t>” shall mean (a) with respect to Sponsor Holders, the Sponsor Lock-Up Period and (b) with respect to the Specified Holders, the lock-up period specified in Section 3.1(b)(ii) of the Business Combination Agreement.</w:t>
      </w:r>
    </w:p>
    <w:p>
      <w:pPr>
        <w:spacing w:after="0" w:line="1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Maximum Number of Securities</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u w:val="single" w:color="auto"/>
          <w:color w:val="auto"/>
        </w:rPr>
        <w:t>subsection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Mergers</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Misstatement</w:t>
      </w:r>
      <w:r>
        <w:rPr>
          <w:rFonts w:ascii="Times New Roman" w:cs="Times New Roman" w:eastAsia="Times New Roman" w:hAnsi="Times New Roman"/>
          <w:sz w:val="22"/>
          <w:szCs w:val="22"/>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and any preliminary prospectus, in the light of the circumstances under which they were made) not misleading.</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New Registration Statement</w:t>
      </w:r>
      <w:r>
        <w:rPr>
          <w:rFonts w:ascii="Times New Roman" w:cs="Times New Roman" w:eastAsia="Times New Roman" w:hAnsi="Times New Roman"/>
          <w:sz w:val="22"/>
          <w:szCs w:val="22"/>
          <w:color w:val="auto"/>
        </w:rPr>
        <w:t>” shall have the meaning given in subsection 2.3.2.</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Original Registration Rights Agreement</w:t>
      </w:r>
      <w:r>
        <w:rPr>
          <w:rFonts w:ascii="Times New Roman" w:cs="Times New Roman" w:eastAsia="Times New Roman" w:hAnsi="Times New Roman"/>
          <w:sz w:val="21"/>
          <w:szCs w:val="21"/>
          <w:color w:val="auto"/>
        </w:rPr>
        <w:t>” shall have the meaning given in the Recitals.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68" w:name="page69"/>
    <w:bookmarkEnd w:id="68"/>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Transferees</w:t>
      </w:r>
      <w:r>
        <w:rPr>
          <w:rFonts w:ascii="Times New Roman" w:cs="Times New Roman" w:eastAsia="Times New Roman" w:hAnsi="Times New Roman"/>
          <w:sz w:val="22"/>
          <w:szCs w:val="22"/>
          <w:color w:val="auto"/>
        </w:rPr>
        <w:t>” shall mean (a) prior to the expiration of the applicable Lock-Up Period, any person or entity to whom a Holder is permitted to transfer its Registrable Securities prior to the expiration of the applicable Lock-Up Period pursuant to, as applicable, the Sponsor Support Agreement, Section 3.1(b)(ii) of the Business Combination Agreement or any other applicable agreement between such Holder and PubCo, and (b) after the expiration of the applicable Lock-Up Period, any person or entity to whom such Holder is permitted to transfer such Registrable Securities.</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Piggyback Registration</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u w:val="single" w:color="auto"/>
          <w:color w:val="auto"/>
        </w:rPr>
        <w:t>subsection 2.2.1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Private Placement Shares</w:t>
      </w:r>
      <w:r>
        <w:rPr>
          <w:rFonts w:ascii="Times New Roman" w:cs="Times New Roman" w:eastAsia="Times New Roman" w:hAnsi="Times New Roman"/>
          <w:sz w:val="22"/>
          <w:szCs w:val="22"/>
          <w:color w:val="auto"/>
        </w:rPr>
        <w:t>” shall mean the PubCo Ordinary Shares issued to Sponsor in the Cayman Merger in exchange for the Class A Ordinary Shares purchased by Sponsor at the closing of SPAC’s initial public offering.</w:t>
      </w:r>
    </w:p>
    <w:p>
      <w:pPr>
        <w:spacing w:after="0" w:line="1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 Rata</w:t>
      </w:r>
      <w:r>
        <w:rPr>
          <w:rFonts w:ascii="Times New Roman" w:cs="Times New Roman" w:eastAsia="Times New Roman" w:hAnsi="Times New Roman"/>
          <w:sz w:val="22"/>
          <w:szCs w:val="22"/>
          <w:color w:val="auto"/>
        </w:rPr>
        <w:t xml:space="preserve">” shall have the meaning given in </w:t>
      </w:r>
      <w:r>
        <w:rPr>
          <w:rFonts w:ascii="Times New Roman" w:cs="Times New Roman" w:eastAsia="Times New Roman" w:hAnsi="Times New Roman"/>
          <w:sz w:val="22"/>
          <w:szCs w:val="22"/>
          <w:u w:val="single" w:color="auto"/>
          <w:color w:val="auto"/>
        </w:rPr>
        <w:t>subsection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PubCo</w:t>
      </w:r>
      <w:r>
        <w:rPr>
          <w:rFonts w:ascii="Times New Roman" w:cs="Times New Roman" w:eastAsia="Times New Roman" w:hAnsi="Times New Roman"/>
          <w:sz w:val="22"/>
          <w:szCs w:val="22"/>
          <w:color w:val="auto"/>
        </w:rPr>
        <w:t>” shall have the meaning given in the Preamble.</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PubCo Ordinary Shares</w:t>
      </w:r>
      <w:r>
        <w:rPr>
          <w:rFonts w:ascii="Times New Roman" w:cs="Times New Roman" w:eastAsia="Times New Roman" w:hAnsi="Times New Roman"/>
          <w:sz w:val="22"/>
          <w:szCs w:val="22"/>
          <w:color w:val="auto"/>
        </w:rPr>
        <w:t>” shall mean ordinary shares of PubCo, par value $0.01 per</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share.</w:t>
      </w:r>
    </w:p>
    <w:p>
      <w:pPr>
        <w:spacing w:after="0" w:line="17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Registrable Security</w:t>
      </w:r>
      <w:r>
        <w:rPr>
          <w:rFonts w:ascii="Times New Roman" w:cs="Times New Roman" w:eastAsia="Times New Roman" w:hAnsi="Times New Roman"/>
          <w:sz w:val="21"/>
          <w:szCs w:val="21"/>
          <w:color w:val="auto"/>
        </w:rPr>
        <w:t xml:space="preserve">” shall mean (a) the PubCo Ordinary Shares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hereto (which, for the avoidance of doubt, shall include all of the Founder Shares and Private Placement Shares); (b) to the extent not listed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 any outstanding PubCo Ordinary Shares or any other equity security (including PubCo Ordinary Shares issued or issuable upon the exercise of any other equity security) of PubCo to the extent held by a Holder as of the date of this Agreement or as of the Closing Date, including any securities purchased in connection therewith; and (c) any other equity security of PubCo issued or issuable with respect to any PubCo Ordinary Shares described in the preceding subclauses (a) through (c), by way of a share dividend or share subdivision or in connection with a combination of shares, recapitalization, merger, consolidation, re-domestication, reorganization, or other similar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or book entry notations for such securities not bearing a legend restricting further transfer shall have been delivered or noted by PubCo and subsequent public distribution of such securities shall not require registration under the Securities Act; (iii) such securities shall have ceased to be outstanding; (iv) such securities may be sold without registration pursuant to Rule 144 or any successor rule promulgated under the Securities Act (but with no volume or other restrictions or limitations including as to manner or timing of sale or current public information requirements);</w:t>
      </w:r>
    </w:p>
    <w:p>
      <w:pPr>
        <w:spacing w:after="0" w:line="20" w:lineRule="exact"/>
        <w:rPr>
          <w:sz w:val="20"/>
          <w:szCs w:val="20"/>
          <w:color w:val="auto"/>
        </w:rPr>
      </w:pPr>
    </w:p>
    <w:p>
      <w:pPr>
        <w:jc w:val="both"/>
        <w:ind w:left="300" w:right="299" w:hanging="8"/>
        <w:spacing w:after="0" w:line="235" w:lineRule="auto"/>
        <w:tabs>
          <w:tab w:leader="none" w:pos="6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securities have been sold to, or through, a broker, dealer or underwriter in a public distribution or other public securities transaction; or (vi) such securities have otherwise ceased to be held by a Holder.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69" w:name="page70"/>
    <w:bookmarkEnd w:id="69"/>
    <w:p>
      <w:pPr>
        <w:jc w:val="both"/>
        <w:ind w:left="300" w:right="299"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w:t>
      </w:r>
      <w:r>
        <w:rPr>
          <w:rFonts w:ascii="Times New Roman" w:cs="Times New Roman" w:eastAsia="Times New Roman" w:hAnsi="Times New Roman"/>
          <w:sz w:val="22"/>
          <w:szCs w:val="2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2" w:lineRule="exact"/>
        <w:rPr>
          <w:sz w:val="20"/>
          <w:szCs w:val="20"/>
          <w:color w:val="auto"/>
        </w:rPr>
      </w:pPr>
    </w:p>
    <w:p>
      <w:pPr>
        <w:jc w:val="both"/>
        <w:ind w:left="300" w:right="31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Expenses</w:t>
      </w:r>
      <w:r>
        <w:rPr>
          <w:rFonts w:ascii="Times New Roman" w:cs="Times New Roman" w:eastAsia="Times New Roman" w:hAnsi="Times New Roman"/>
          <w:sz w:val="22"/>
          <w:szCs w:val="22"/>
          <w:color w:val="auto"/>
        </w:rPr>
        <w:t>” shall mean the out-of-pocket expenses of a Registration, including, without limitation, the following:</w:t>
      </w:r>
    </w:p>
    <w:p>
      <w:pPr>
        <w:spacing w:after="0" w:line="151" w:lineRule="exact"/>
        <w:rPr>
          <w:sz w:val="20"/>
          <w:szCs w:val="20"/>
          <w:color w:val="auto"/>
        </w:rPr>
      </w:pPr>
    </w:p>
    <w:p>
      <w:pPr>
        <w:jc w:val="both"/>
        <w:ind w:left="300" w:right="299" w:firstLine="640"/>
        <w:spacing w:after="0" w:line="244" w:lineRule="auto"/>
        <w:tabs>
          <w:tab w:leader="none" w:pos="161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registration and filing fees (including fees with respect to filings required to be made with the Financial Industry Regulatory Authority, Inc.) and any securities exchange on which PubCo Ordinary Shares are then listed;</w:t>
      </w:r>
    </w:p>
    <w:p>
      <w:pPr>
        <w:spacing w:after="0" w:line="173" w:lineRule="exact"/>
        <w:rPr>
          <w:rFonts w:ascii="Times New Roman" w:cs="Times New Roman" w:eastAsia="Times New Roman" w:hAnsi="Times New Roman"/>
          <w:sz w:val="22"/>
          <w:szCs w:val="22"/>
          <w:color w:val="auto"/>
        </w:rPr>
      </w:pPr>
    </w:p>
    <w:p>
      <w:pPr>
        <w:jc w:val="both"/>
        <w:ind w:left="300" w:right="319" w:firstLine="640"/>
        <w:spacing w:after="0" w:line="244" w:lineRule="auto"/>
        <w:tabs>
          <w:tab w:leader="none" w:pos="1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expenses of compliance with securities or blue sky laws (including reasonable fees and disbursements of counsel for the Underwriters in connection with blue sky qualifications of Registrable Securities);</w:t>
      </w:r>
    </w:p>
    <w:p>
      <w:pPr>
        <w:spacing w:after="0" w:line="173" w:lineRule="exact"/>
        <w:rPr>
          <w:rFonts w:ascii="Times New Roman" w:cs="Times New Roman" w:eastAsia="Times New Roman" w:hAnsi="Times New Roman"/>
          <w:sz w:val="22"/>
          <w:szCs w:val="22"/>
          <w:color w:val="auto"/>
        </w:rPr>
      </w:pPr>
    </w:p>
    <w:p>
      <w:pPr>
        <w:ind w:left="1380" w:hanging="440"/>
        <w:spacing w:after="0"/>
        <w:tabs>
          <w:tab w:leader="none" w:pos="1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printing, messenger, telephone and delivery expenses;</w:t>
      </w:r>
    </w:p>
    <w:p>
      <w:pPr>
        <w:spacing w:after="0" w:line="206" w:lineRule="exact"/>
        <w:rPr>
          <w:rFonts w:ascii="Times New Roman" w:cs="Times New Roman" w:eastAsia="Times New Roman" w:hAnsi="Times New Roman"/>
          <w:sz w:val="22"/>
          <w:szCs w:val="22"/>
          <w:color w:val="auto"/>
        </w:rPr>
      </w:pPr>
    </w:p>
    <w:p>
      <w:pPr>
        <w:ind w:left="1380" w:hanging="440"/>
        <w:spacing w:after="0"/>
        <w:tabs>
          <w:tab w:leader="none" w:pos="1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fees and disbursements of counsel for PubCo;</w:t>
      </w:r>
    </w:p>
    <w:p>
      <w:pPr>
        <w:spacing w:after="0" w:line="206" w:lineRule="exact"/>
        <w:rPr>
          <w:rFonts w:ascii="Times New Roman" w:cs="Times New Roman" w:eastAsia="Times New Roman" w:hAnsi="Times New Roman"/>
          <w:sz w:val="22"/>
          <w:szCs w:val="22"/>
          <w:color w:val="auto"/>
        </w:rPr>
      </w:pPr>
    </w:p>
    <w:p>
      <w:pPr>
        <w:ind w:left="300" w:right="319" w:firstLine="640"/>
        <w:spacing w:after="0" w:line="258" w:lineRule="auto"/>
        <w:tabs>
          <w:tab w:leader="none" w:pos="1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fees and disbursements of all independent registered public accountants of PubCo incurred specifically in connection with such Registration; and</w:t>
      </w:r>
    </w:p>
    <w:p>
      <w:pPr>
        <w:spacing w:after="0" w:line="158" w:lineRule="exact"/>
        <w:rPr>
          <w:rFonts w:ascii="Times New Roman" w:cs="Times New Roman" w:eastAsia="Times New Roman" w:hAnsi="Times New Roman"/>
          <w:sz w:val="22"/>
          <w:szCs w:val="22"/>
          <w:color w:val="auto"/>
        </w:rPr>
      </w:pPr>
    </w:p>
    <w:p>
      <w:pPr>
        <w:jc w:val="both"/>
        <w:ind w:left="300" w:right="299" w:firstLine="640"/>
        <w:spacing w:after="0" w:line="244" w:lineRule="auto"/>
        <w:tabs>
          <w:tab w:leader="none" w:pos="13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fees and expenses of one (1) legal counsel representing Holders, as selected by Holders holding a majority of the then-outstanding Registrable Securities included, or to be included, in such Registration.</w:t>
      </w:r>
    </w:p>
    <w:p>
      <w:pPr>
        <w:spacing w:after="0" w:line="167"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shall mean any registration statement under the Securities Act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Requesting Holder</w:t>
      </w:r>
      <w:r>
        <w:rPr>
          <w:rFonts w:ascii="Times New Roman" w:cs="Times New Roman" w:eastAsia="Times New Roman" w:hAnsi="Times New Roman"/>
          <w:sz w:val="22"/>
          <w:szCs w:val="22"/>
          <w:color w:val="auto"/>
        </w:rPr>
        <w:t>” shall have the meaning given in subsection 2.1.1.</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b w:val="1"/>
          <w:bCs w:val="1"/>
          <w:i w:val="1"/>
          <w:iCs w:val="1"/>
          <w:color w:val="auto"/>
        </w:rPr>
        <w:t xml:space="preserve">“Resale Shelf Registration Statement” </w:t>
      </w:r>
      <w:r>
        <w:rPr>
          <w:rFonts w:ascii="Times New Roman" w:cs="Times New Roman" w:eastAsia="Times New Roman" w:hAnsi="Times New Roman"/>
          <w:sz w:val="21"/>
          <w:szCs w:val="21"/>
          <w:color w:val="auto"/>
        </w:rPr>
        <w:t>shall have the meaning given in subsection 2.3.1.</w:t>
      </w:r>
    </w:p>
    <w:p>
      <w:pPr>
        <w:spacing w:after="0" w:line="2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 Guidance</w:t>
      </w:r>
      <w:r>
        <w:rPr>
          <w:rFonts w:ascii="Times New Roman" w:cs="Times New Roman" w:eastAsia="Times New Roman" w:hAnsi="Times New Roman"/>
          <w:sz w:val="22"/>
          <w:szCs w:val="22"/>
          <w:color w:val="auto"/>
        </w:rPr>
        <w:t>” shall have the meaning given in subsection 2.3.2.</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shall mean the U.S. Securities Act of 1933, as amended from time to</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time.</w:t>
      </w:r>
    </w:p>
    <w:p>
      <w:pPr>
        <w:spacing w:after="0" w:line="176" w:lineRule="exact"/>
        <w:rPr>
          <w:sz w:val="20"/>
          <w:szCs w:val="20"/>
          <w:color w:val="auto"/>
        </w:rPr>
      </w:pPr>
    </w:p>
    <w:p>
      <w:pPr>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Significant Specified Holder</w:t>
      </w:r>
      <w:r>
        <w:rPr>
          <w:rFonts w:ascii="Times New Roman" w:cs="Times New Roman" w:eastAsia="Times New Roman" w:hAnsi="Times New Roman"/>
          <w:sz w:val="22"/>
          <w:szCs w:val="22"/>
          <w:color w:val="auto"/>
        </w:rPr>
        <w:t>” shall mean any Specified Holder holding at least 10% of the then-outstanding PubCo Ordinary Shares.</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w:t>
      </w:r>
      <w:r>
        <w:rPr>
          <w:rFonts w:ascii="Times New Roman" w:cs="Times New Roman" w:eastAsia="Times New Roman" w:hAnsi="Times New Roman"/>
          <w:sz w:val="22"/>
          <w:szCs w:val="22"/>
          <w:color w:val="auto"/>
        </w:rPr>
        <w:t>” shall have the meaning given in the Preamble.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70" w:name="page71"/>
    <w:bookmarkEnd w:id="70"/>
    <w:p>
      <w:pPr>
        <w:jc w:val="both"/>
        <w:ind w:left="300" w:right="31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SPAC Ordinary Shares</w:t>
      </w:r>
      <w:r>
        <w:rPr>
          <w:rFonts w:ascii="Times New Roman" w:cs="Times New Roman" w:eastAsia="Times New Roman" w:hAnsi="Times New Roman"/>
          <w:sz w:val="22"/>
          <w:szCs w:val="22"/>
          <w:color w:val="auto"/>
        </w:rPr>
        <w:t>” shall mean the Class A Ordinary Shares and the Class B Ordinary Shares.</w:t>
      </w:r>
    </w:p>
    <w:p>
      <w:pPr>
        <w:spacing w:after="0" w:line="1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Holders</w:t>
      </w:r>
      <w:r>
        <w:rPr>
          <w:rFonts w:ascii="Times New Roman" w:cs="Times New Roman" w:eastAsia="Times New Roman" w:hAnsi="Times New Roman"/>
          <w:sz w:val="22"/>
          <w:szCs w:val="22"/>
          <w:color w:val="auto"/>
        </w:rPr>
        <w:t>” shall have the meaning given in the Preamble hereto.</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w:t>
      </w:r>
      <w:r>
        <w:rPr>
          <w:rFonts w:ascii="Times New Roman" w:cs="Times New Roman" w:eastAsia="Times New Roman" w:hAnsi="Times New Roman"/>
          <w:sz w:val="22"/>
          <w:szCs w:val="22"/>
          <w:color w:val="auto"/>
        </w:rPr>
        <w:t>” shall have the meaning given in the Recitals hereto.</w:t>
      </w:r>
    </w:p>
    <w:p>
      <w:pPr>
        <w:spacing w:after="0" w:line="206" w:lineRule="exact"/>
        <w:rPr>
          <w:sz w:val="20"/>
          <w:szCs w:val="20"/>
          <w:color w:val="auto"/>
        </w:rPr>
      </w:pPr>
    </w:p>
    <w:p>
      <w:pPr>
        <w:jc w:val="both"/>
        <w:ind w:left="300" w:right="31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 Holders</w:t>
      </w:r>
      <w:r>
        <w:rPr>
          <w:rFonts w:ascii="Times New Roman" w:cs="Times New Roman" w:eastAsia="Times New Roman" w:hAnsi="Times New Roman"/>
          <w:sz w:val="22"/>
          <w:szCs w:val="22"/>
          <w:color w:val="auto"/>
        </w:rPr>
        <w:t>” shall mean Sponsor and its Permitted Transferees who hold Registrable Securities.</w:t>
      </w:r>
    </w:p>
    <w:p>
      <w:pPr>
        <w:spacing w:after="0" w:line="145"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 Lock-Up Period</w:t>
      </w:r>
      <w:r>
        <w:rPr>
          <w:rFonts w:ascii="Times New Roman" w:cs="Times New Roman" w:eastAsia="Times New Roman" w:hAnsi="Times New Roman"/>
          <w:sz w:val="22"/>
          <w:szCs w:val="22"/>
          <w:color w:val="auto"/>
        </w:rPr>
        <w:t>” shall mean Lock-Up Period as defined in the Sponsor Support Agreement.</w:t>
      </w:r>
    </w:p>
    <w:p>
      <w:pPr>
        <w:spacing w:after="0" w:line="145" w:lineRule="exact"/>
        <w:rPr>
          <w:sz w:val="20"/>
          <w:szCs w:val="20"/>
          <w:color w:val="auto"/>
        </w:rPr>
      </w:pPr>
    </w:p>
    <w:p>
      <w:pPr>
        <w:jc w:val="both"/>
        <w:ind w:left="300" w:right="319" w:firstLine="64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Sponsor Support Agreement</w:t>
      </w:r>
      <w:r>
        <w:rPr>
          <w:rFonts w:ascii="Times New Roman" w:cs="Times New Roman" w:eastAsia="Times New Roman" w:hAnsi="Times New Roman"/>
          <w:sz w:val="22"/>
          <w:szCs w:val="22"/>
          <w:color w:val="auto"/>
        </w:rPr>
        <w:t>” shall mean that certain Sponsor Support Agreement, dated as of November 7, 2025, by and among the Company, PubCo, SPAC and Sponsor.</w:t>
      </w:r>
    </w:p>
    <w:p>
      <w:pPr>
        <w:spacing w:after="0" w:line="145" w:lineRule="exact"/>
        <w:rPr>
          <w:sz w:val="20"/>
          <w:szCs w:val="20"/>
          <w:color w:val="auto"/>
        </w:rPr>
      </w:pPr>
    </w:p>
    <w:p>
      <w:pPr>
        <w:jc w:val="both"/>
        <w:ind w:left="300" w:right="299" w:firstLine="64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Underwriter</w:t>
      </w:r>
      <w:r>
        <w:rPr>
          <w:rFonts w:ascii="Times New Roman" w:cs="Times New Roman" w:eastAsia="Times New Roman" w:hAnsi="Times New Roman"/>
          <w:sz w:val="21"/>
          <w:szCs w:val="21"/>
          <w:color w:val="auto"/>
        </w:rPr>
        <w:t>” shall mean a securities dealer who purchases any Registrable Securities as principal in an Underwritten Offering and not as part of such dealer’s market-making activities.</w:t>
      </w:r>
    </w:p>
    <w:p>
      <w:pPr>
        <w:spacing w:after="0" w:line="122"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Underwritten Registration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Underwritten Offering</w:t>
      </w:r>
      <w:r>
        <w:rPr>
          <w:rFonts w:ascii="Times New Roman" w:cs="Times New Roman" w:eastAsia="Times New Roman" w:hAnsi="Times New Roman"/>
          <w:sz w:val="22"/>
          <w:szCs w:val="22"/>
          <w:color w:val="auto"/>
        </w:rPr>
        <w:t>” shall mean a Registration in which securities of PubCo are sold to an Underwriter in a firm commitment underwriting for distribution to the public.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REGISTRATIONS</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Demand Registration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00" w:right="299" w:firstLine="1296"/>
        <w:spacing w:after="0" w:line="245" w:lineRule="auto"/>
        <w:rPr>
          <w:sz w:val="20"/>
          <w:szCs w:val="20"/>
          <w:color w:val="auto"/>
        </w:rPr>
      </w:pPr>
      <w:r>
        <w:rPr>
          <w:rFonts w:ascii="Times New Roman" w:cs="Times New Roman" w:eastAsia="Times New Roman" w:hAnsi="Times New Roman"/>
          <w:sz w:val="21"/>
          <w:szCs w:val="21"/>
          <w:color w:val="auto"/>
        </w:rPr>
        <w:t>2.1.1.</w:t>
      </w:r>
      <w:r>
        <w:rPr>
          <w:rFonts w:ascii="Times New Roman" w:cs="Times New Roman" w:eastAsia="Times New Roman" w:hAnsi="Times New Roman"/>
          <w:sz w:val="21"/>
          <w:szCs w:val="21"/>
          <w:u w:val="single" w:color="auto"/>
          <w:color w:val="auto"/>
        </w:rPr>
        <w:t>Request for Registration</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subsection 2.1.4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 at any time and from time to time on or after the Closing Date, any Significant Specified Holder (the “</w:t>
      </w:r>
      <w:r>
        <w:rPr>
          <w:rFonts w:ascii="Times New Roman" w:cs="Times New Roman" w:eastAsia="Times New Roman" w:hAnsi="Times New Roman"/>
          <w:sz w:val="21"/>
          <w:szCs w:val="21"/>
          <w:b w:val="1"/>
          <w:bCs w:val="1"/>
          <w:i w:val="1"/>
          <w:iCs w:val="1"/>
          <w:color w:val="auto"/>
        </w:rPr>
        <w:t>Demanding Holders</w:t>
      </w:r>
      <w:r>
        <w:rPr>
          <w:rFonts w:ascii="Times New Roman" w:cs="Times New Roman" w:eastAsia="Times New Roman" w:hAnsi="Times New Roman"/>
          <w:sz w:val="21"/>
          <w:szCs w:val="21"/>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Times New Roman" w:cs="Times New Roman" w:eastAsia="Times New Roman" w:hAnsi="Times New Roman"/>
          <w:sz w:val="21"/>
          <w:szCs w:val="21"/>
          <w:b w:val="1"/>
          <w:bCs w:val="1"/>
          <w:i w:val="1"/>
          <w:iCs w:val="1"/>
          <w:color w:val="auto"/>
        </w:rPr>
        <w:t>Demand Registration</w:t>
      </w:r>
      <w:r>
        <w:rPr>
          <w:rFonts w:ascii="Times New Roman" w:cs="Times New Roman" w:eastAsia="Times New Roman" w:hAnsi="Times New Roman"/>
          <w:sz w:val="21"/>
          <w:szCs w:val="21"/>
          <w:color w:val="auto"/>
        </w:rPr>
        <w:t>”). PubCo shall, within ten</w:t>
      </w:r>
    </w:p>
    <w:p>
      <w:pPr>
        <w:spacing w:after="0" w:line="3" w:lineRule="exact"/>
        <w:rPr>
          <w:sz w:val="20"/>
          <w:szCs w:val="20"/>
          <w:color w:val="auto"/>
        </w:rPr>
      </w:pPr>
    </w:p>
    <w:p>
      <w:pPr>
        <w:jc w:val="both"/>
        <w:ind w:left="300" w:right="299" w:hanging="8"/>
        <w:spacing w:after="0" w:line="231" w:lineRule="auto"/>
        <w:tabs>
          <w:tab w:leader="none" w:pos="7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of PubCo’s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 w:cs="Times New Roman" w:eastAsia="Times New Roman" w:hAnsi="Times New Roman"/>
          <w:sz w:val="22"/>
          <w:szCs w:val="22"/>
          <w:b w:val="1"/>
          <w:bCs w:val="1"/>
          <w:i w:val="1"/>
          <w:iCs w:val="1"/>
          <w:color w:val="auto"/>
        </w:rPr>
        <w:t>Requesting Holder</w:t>
      </w:r>
      <w:r>
        <w:rPr>
          <w:rFonts w:ascii="Times New Roman" w:cs="Times New Roman" w:eastAsia="Times New Roman" w:hAnsi="Times New Roman"/>
          <w:sz w:val="22"/>
          <w:szCs w:val="22"/>
          <w:color w:val="auto"/>
        </w:rPr>
        <w:t>”) shall so notify PubCo, in writing, within five (5) calendar days after the receipt by such Holder of the notice from PubCo. Upon receipt by PubCo of any such written notification from a Requesting Holder(s) to PubCo, such Requesting Holder(s) shall be entitled to have their Registrable Securities included in a Registration pursuant to a Demand Registration and PubCo shall effect, as soon thereafter as practicable, the Registration of all Registrable Securities requested by the Demanding Holders(s) and Requesting Holder(s) pursuant to such Demand Registration, including by (x) filing or confidentially submitting a Registration Statement relating thereto as soon as practicable, but not more than sixty (60) calendar days immediately after PubCo’s receipt of the Demand Registration, and (y) using its reasonable best efforts to have such Registration Statement become effective as soon as practicable after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2" w:right="1440" w:bottom="1440" w:gutter="0" w:footer="0" w:header="0"/>
        </w:sectPr>
      </w:pPr>
    </w:p>
    <w:bookmarkStart w:id="71" w:name="page72"/>
    <w:bookmarkEnd w:id="71"/>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 xml:space="preserve">PubCo’s receipt of the Demand Registration but in any event no later than within ninety (90) calendar days or, if the Registration Statement is reviewed by, and comments thereto are provided from, the Commission, within one hundred twenty (120) calendar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PubCo shall request the Registration Statement to be declared effective as soon as practicable but in any event no later than within five (5) business days after the date PubCo is notified (orally or in writing, whichever is earlier) by the staff of the Commission that the Registration Statement will not be “reviewed” or will not be subject to further review. Under no circumstances shall PubCo be obligated to effect more than one (1) Registration pursuant to a Demand Registration under this </w:t>
      </w:r>
      <w:r>
        <w:rPr>
          <w:rFonts w:ascii="Times New Roman" w:cs="Times New Roman" w:eastAsia="Times New Roman" w:hAnsi="Times New Roman"/>
          <w:sz w:val="22"/>
          <w:szCs w:val="22"/>
          <w:u w:val="single" w:color="auto"/>
          <w:color w:val="auto"/>
        </w:rPr>
        <w:t>subsection 2.1.1</w:t>
      </w:r>
      <w:r>
        <w:rPr>
          <w:rFonts w:ascii="Times New Roman" w:cs="Times New Roman" w:eastAsia="Times New Roman" w:hAnsi="Times New Roman"/>
          <w:sz w:val="22"/>
          <w:szCs w:val="22"/>
          <w:color w:val="auto"/>
        </w:rPr>
        <w:t xml:space="preserve"> in any six (6)-month period. Each Holder agrees that such Holder shall treat as confidential the receipt of the notice of Demand Registration and shall not disclose or use the information contained in such notice of Demand Registration without the prior written consent of PubCo or until such time as the information contained therein is or becomes available to the public generally, other than as a result of disclosure by the Holder in breach of the terms of this Agreement.</w:t>
      </w:r>
    </w:p>
    <w:p>
      <w:pPr>
        <w:spacing w:after="0" w:line="180"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1"/>
          <w:szCs w:val="21"/>
          <w:color w:val="auto"/>
        </w:rPr>
        <w:t>2.1.2.</w:t>
      </w:r>
      <w:r>
        <w:rPr>
          <w:rFonts w:ascii="Times New Roman" w:cs="Times New Roman" w:eastAsia="Times New Roman" w:hAnsi="Times New Roman"/>
          <w:sz w:val="21"/>
          <w:szCs w:val="21"/>
          <w:u w:val="single" w:color="auto"/>
          <w:color w:val="auto"/>
        </w:rPr>
        <w:t>Effective Registration</w:t>
      </w:r>
      <w:r>
        <w:rPr>
          <w:rFonts w:ascii="Times New Roman" w:cs="Times New Roman" w:eastAsia="Times New Roman" w:hAnsi="Times New Roman"/>
          <w:sz w:val="21"/>
          <w:szCs w:val="21"/>
          <w:color w:val="auto"/>
        </w:rPr>
        <w:t xml:space="preserve">. Notwithstanding the provisions of </w:t>
      </w:r>
      <w:r>
        <w:rPr>
          <w:rFonts w:ascii="Times New Roman" w:cs="Times New Roman" w:eastAsia="Times New Roman" w:hAnsi="Times New Roman"/>
          <w:sz w:val="21"/>
          <w:szCs w:val="21"/>
          <w:u w:val="single" w:color="auto"/>
          <w:color w:val="auto"/>
        </w:rPr>
        <w:t>subsection 2.1.1</w:t>
      </w:r>
      <w:r>
        <w:rPr>
          <w:rFonts w:ascii="Times New Roman" w:cs="Times New Roman" w:eastAsia="Times New Roman" w:hAnsi="Times New Roman"/>
          <w:sz w:val="21"/>
          <w:szCs w:val="21"/>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PubCo has complied with all of its obligations under this Agreement with respect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(a) such stop order or injunction is removed, rescinded or otherwise terminated, and (b) a majority-in-interest of the Demanding Holders initiating such Demand Registration thereafter affirmatively elects to continue with such Registration and accordingly notifies PubCo in writing, but in no event later than five (5) calendar days, of such election;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PubCo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73"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1"/>
          <w:szCs w:val="21"/>
          <w:color w:val="auto"/>
        </w:rPr>
        <w:t>2.1.3.</w:t>
      </w:r>
      <w:r>
        <w:rPr>
          <w:rFonts w:ascii="Times New Roman" w:cs="Times New Roman" w:eastAsia="Times New Roman" w:hAnsi="Times New Roman"/>
          <w:sz w:val="21"/>
          <w:szCs w:val="21"/>
          <w:u w:val="single" w:color="auto"/>
          <w:color w:val="auto"/>
        </w:rPr>
        <w:t>Underwritten Offering</w:t>
      </w:r>
      <w:r>
        <w:rPr>
          <w:rFonts w:ascii="Times New Roman" w:cs="Times New Roman" w:eastAsia="Times New Roman" w:hAnsi="Times New Roman"/>
          <w:sz w:val="21"/>
          <w:szCs w:val="21"/>
          <w:color w:val="auto"/>
        </w:rPr>
        <w:t xml:space="preserve">. Subject to the provisions of </w:t>
      </w:r>
      <w:r>
        <w:rPr>
          <w:rFonts w:ascii="Times New Roman" w:cs="Times New Roman" w:eastAsia="Times New Roman" w:hAnsi="Times New Roman"/>
          <w:sz w:val="21"/>
          <w:szCs w:val="21"/>
          <w:u w:val="single" w:color="auto"/>
          <w:color w:val="auto"/>
        </w:rPr>
        <w:t>subsection 2.1.4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hereof, if (x) a majority-in-interest of the Demanding Holders or (y) a Significant Specified Holder so advise PubCo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subsection 2.1.3 shall enter into an underwriting agreement in customary form with the Underwriter(s) selected for such Underwritten Offering by the Demanding Holders initiating the Demand Registration in consultation with PubCo. Notwithstanding the foregoing, PubCo is not obligated to effect an Underwritten Offering unless the aggregate gross proceeds from the sale of all Registrable Securities (regardless of Holder) requested to be included in such Underwritten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2" w:name="page73"/>
    <w:bookmarkEnd w:id="72"/>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Offering is reasonably expected by the Requesting Holder to be at least $75,000,000, and PubCo is not obligated to effect (i) more than an aggregate of two (2) Underwritten Offerings pursuant to this subsection 2.1.3 in any twelve (12)-month period, or (ii) an Underwritten Offering pursuant to this subsection 2.1.3 within ninety (90) calendar days after the closing of an Underwritten Offering.</w:t>
      </w:r>
    </w:p>
    <w:p>
      <w:pPr>
        <w:spacing w:after="0" w:line="177" w:lineRule="exact"/>
        <w:rPr>
          <w:sz w:val="20"/>
          <w:szCs w:val="20"/>
          <w:color w:val="auto"/>
        </w:rPr>
      </w:pPr>
    </w:p>
    <w:p>
      <w:pPr>
        <w:jc w:val="both"/>
        <w:ind w:left="300" w:right="299" w:firstLine="1296"/>
        <w:spacing w:after="0" w:line="231" w:lineRule="auto"/>
        <w:rPr>
          <w:sz w:val="20"/>
          <w:szCs w:val="20"/>
          <w:color w:val="auto"/>
        </w:rPr>
      </w:pPr>
      <w:r>
        <w:rPr>
          <w:rFonts w:ascii="Times New Roman" w:cs="Times New Roman" w:eastAsia="Times New Roman" w:hAnsi="Times New Roman"/>
          <w:sz w:val="22"/>
          <w:szCs w:val="22"/>
          <w:color w:val="auto"/>
        </w:rPr>
        <w:t>2.1.4.</w:t>
      </w:r>
      <w:r>
        <w:rPr>
          <w:rFonts w:ascii="Times New Roman" w:cs="Times New Roman" w:eastAsia="Times New Roman" w:hAnsi="Times New Roman"/>
          <w:sz w:val="22"/>
          <w:szCs w:val="22"/>
          <w:u w:val="single" w:color="auto"/>
          <w:color w:val="auto"/>
        </w:rPr>
        <w:t>Reduction of Underwritten Offering</w:t>
      </w:r>
      <w:r>
        <w:rPr>
          <w:rFonts w:ascii="Times New Roman" w:cs="Times New Roman" w:eastAsia="Times New Roman" w:hAnsi="Times New Roman"/>
          <w:sz w:val="22"/>
          <w:szCs w:val="22"/>
          <w:color w:val="auto"/>
        </w:rPr>
        <w:t>. If the managing Underwriter or Underwriters in an Underwritten Registration pursuant to a Demand Registration, in good faith, advises PubCo, the Demanding Holders and the Requesting Holders (if any) in writing that the dollar amount or number of Registrable Securities that the Demanding Holders and the Requesting Holders (if any) desire to sell, taken together with all other PubCo Ordinary Shares or other equity securities that PubCo desires to sell and PubCo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22"/>
          <w:szCs w:val="22"/>
          <w:b w:val="1"/>
          <w:bCs w:val="1"/>
          <w:i w:val="1"/>
          <w:iCs w:val="1"/>
          <w:color w:val="auto"/>
        </w:rPr>
        <w:t>Maximum Number of Securities</w:t>
      </w:r>
      <w:r>
        <w:rPr>
          <w:rFonts w:ascii="Times New Roman" w:cs="Times New Roman" w:eastAsia="Times New Roman" w:hAnsi="Times New Roman"/>
          <w:sz w:val="22"/>
          <w:szCs w:val="22"/>
          <w:color w:val="auto"/>
        </w:rPr>
        <w:t>”), then PubCo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Times New Roman" w:cs="Times New Roman" w:eastAsia="Times New Roman" w:hAnsi="Times New Roman"/>
          <w:sz w:val="22"/>
          <w:szCs w:val="22"/>
          <w:b w:val="1"/>
          <w:bCs w:val="1"/>
          <w:i w:val="1"/>
          <w:iCs w:val="1"/>
          <w:color w:val="auto"/>
        </w:rPr>
        <w:t>Pro Rata</w:t>
      </w:r>
      <w:r>
        <w:rPr>
          <w:rFonts w:ascii="Times New Roman" w:cs="Times New Roman" w:eastAsia="Times New Roman" w:hAnsi="Times New Roman"/>
          <w:sz w:val="22"/>
          <w:szCs w:val="22"/>
          <w:color w:val="auto"/>
        </w:rPr>
        <w:t>”))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subsection 2.2.1 hereof, without exceeding the Maximum Number of Securities; (iii) third, to the extent that the Maximum Number of Securities has not been reached under the foregoing clauses (i) and (ii), PubCo Ordinary Shares or other equity securities that PubCo desires to sell, which can be sold without exceeding the Maximum Number of Securities; and (iv) fourth, to the extent that the Maximum Number of Securities has not been reached under the foregoing clauses (i), (ii) and (iii), PubCo Ordinary Shares or other equity securities of other persons or entities that PubCo is obligated to register in a Registration pursuant to separate written contractual arrangements with such persons or entities and that can be sold without exceeding the Maximum Number of Securities.</w:t>
      </w:r>
    </w:p>
    <w:p>
      <w:pPr>
        <w:spacing w:after="0" w:line="20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2.1.5.</w:t>
      </w:r>
      <w:r>
        <w:rPr>
          <w:rFonts w:ascii="Times New Roman" w:cs="Times New Roman" w:eastAsia="Times New Roman" w:hAnsi="Times New Roman"/>
          <w:sz w:val="22"/>
          <w:szCs w:val="22"/>
          <w:u w:val="single" w:color="auto"/>
          <w:color w:val="auto"/>
        </w:rPr>
        <w:t>Demand Registration Withdrawal</w:t>
      </w:r>
      <w:r>
        <w:rPr>
          <w:rFonts w:ascii="Times New Roman" w:cs="Times New Roman" w:eastAsia="Times New Roman" w:hAnsi="Times New Roman"/>
          <w:sz w:val="22"/>
          <w:szCs w:val="22"/>
          <w:color w:val="auto"/>
        </w:rPr>
        <w:t>. At least three (3) business days prior to</w:t>
      </w:r>
    </w:p>
    <w:p>
      <w:pPr>
        <w:spacing w:after="0" w:line="14" w:lineRule="exact"/>
        <w:rPr>
          <w:sz w:val="20"/>
          <w:szCs w:val="20"/>
          <w:color w:val="auto"/>
        </w:rPr>
      </w:pPr>
    </w:p>
    <w:p>
      <w:pPr>
        <w:jc w:val="both"/>
        <w:ind w:left="300" w:right="299" w:hanging="8"/>
        <w:spacing w:after="0" w:line="232" w:lineRule="auto"/>
        <w:tabs>
          <w:tab w:leader="none" w:pos="56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effectiveness of the Registration Statement filed with the Commission with respect to the Registration of its Registrable Securities pursuant to a Demand Registration under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w:t>
      </w:r>
      <w:r>
        <w:rPr>
          <w:rFonts w:ascii="Times New Roman" w:cs="Times New Roman" w:eastAsia="Times New Roman" w:hAnsi="Times New Roman"/>
          <w:sz w:val="22"/>
          <w:szCs w:val="22"/>
          <w:color w:val="auto"/>
        </w:rPr>
        <w:t xml:space="preserve"> (other than an Underwritten Offering pursuant to </w:t>
      </w:r>
      <w:r>
        <w:rPr>
          <w:rFonts w:ascii="Times New Roman" w:cs="Times New Roman" w:eastAsia="Times New Roman" w:hAnsi="Times New Roman"/>
          <w:sz w:val="22"/>
          <w:szCs w:val="22"/>
          <w:u w:val="single" w:color="auto"/>
          <w:color w:val="auto"/>
        </w:rPr>
        <w:t>subsection 2.1.3)</w:t>
      </w:r>
      <w:r>
        <w:rPr>
          <w:rFonts w:ascii="Times New Roman" w:cs="Times New Roman" w:eastAsia="Times New Roman" w:hAnsi="Times New Roman"/>
          <w:sz w:val="22"/>
          <w:szCs w:val="22"/>
          <w:color w:val="auto"/>
        </w:rPr>
        <w:t xml:space="preserve">, a majority-in-interest of the Demanding Holders initiating a Demand Registration or a majority-in-interest of the Requesting Holders (if any) and (ii) the filing of the applicable “red herring” prospectus or prospectus supplement used for marketing an Underwritten Offering pursuant to </w:t>
      </w:r>
      <w:r>
        <w:rPr>
          <w:rFonts w:ascii="Times New Roman" w:cs="Times New Roman" w:eastAsia="Times New Roman" w:hAnsi="Times New Roman"/>
          <w:sz w:val="22"/>
          <w:szCs w:val="22"/>
          <w:u w:val="single" w:color="auto"/>
          <w:color w:val="auto"/>
        </w:rPr>
        <w:t>subsection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a majority-in-interest of the Demanding Holders initiating an Underwritten Offering, in each case of (i) and (ii), shall have the right to withdraw from a Registration pursuant to such applicable Demand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3" w:name="page74"/>
    <w:bookmarkEnd w:id="73"/>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 xml:space="preserve">Registration for any or no reason whatsoever upon written notification to PubCo and, if applicable, the Underwriter or Underwriters (if any) of its intention to withdraw from such Registration. Notwithstanding anything to the contrary in this Agreement, PubCo shall be responsible for the Registration Expenses incurred in connection with a Registration pursuant to a Demand Registration prior to any withdrawal under this </w:t>
      </w:r>
      <w:r>
        <w:rPr>
          <w:rFonts w:ascii="Times New Roman" w:cs="Times New Roman" w:eastAsia="Times New Roman" w:hAnsi="Times New Roman"/>
          <w:sz w:val="22"/>
          <w:szCs w:val="22"/>
          <w:u w:val="single" w:color="auto"/>
          <w:color w:val="auto"/>
        </w:rPr>
        <w:t>subsection 2.1.5; provided</w:t>
      </w:r>
      <w:r>
        <w:rPr>
          <w:rFonts w:ascii="Times New Roman" w:cs="Times New Roman" w:eastAsia="Times New Roman" w:hAnsi="Times New Roman"/>
          <w:sz w:val="22"/>
          <w:szCs w:val="22"/>
          <w:color w:val="auto"/>
        </w:rPr>
        <w:t>, that if PubCo pays such expenses related to a Demand Registration initiated by Sponsor, such registration shall count as a Demand Registration for purposes of Section 3.6.</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Piggyback Registration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00" w:right="299" w:firstLine="1296"/>
        <w:spacing w:after="0" w:line="242" w:lineRule="auto"/>
        <w:rPr>
          <w:sz w:val="20"/>
          <w:szCs w:val="20"/>
          <w:color w:val="auto"/>
        </w:rPr>
      </w:pPr>
      <w:r>
        <w:rPr>
          <w:rFonts w:ascii="Times New Roman" w:cs="Times New Roman" w:eastAsia="Times New Roman" w:hAnsi="Times New Roman"/>
          <w:sz w:val="21"/>
          <w:szCs w:val="21"/>
          <w:color w:val="auto"/>
        </w:rPr>
        <w:t>2.2.1.</w:t>
      </w:r>
      <w:r>
        <w:rPr>
          <w:rFonts w:ascii="Times New Roman" w:cs="Times New Roman" w:eastAsia="Times New Roman" w:hAnsi="Times New Roman"/>
          <w:sz w:val="21"/>
          <w:szCs w:val="21"/>
          <w:u w:val="single" w:color="auto"/>
          <w:color w:val="auto"/>
        </w:rPr>
        <w:t>Piggyback Rights</w:t>
      </w:r>
      <w:r>
        <w:rPr>
          <w:rFonts w:ascii="Times New Roman" w:cs="Times New Roman" w:eastAsia="Times New Roman" w:hAnsi="Times New Roman"/>
          <w:sz w:val="21"/>
          <w:szCs w:val="21"/>
          <w:color w:val="auto"/>
        </w:rPr>
        <w:t xml:space="preserve">. If, at any time on or after the Closing Date, PubCo proposes to file or confidentially submit a Registration Statement under the Securities Act with respect to an offering of equity securities, or securities or other obligations exercisable or exchangeable for, or convertible into equity securities, for its own account or for the account of shareholders of PubCo (or by PubCo and by the shareholders of PubCo including, without limitation, pursuant to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 other than a Registration Statement (a) filed in connection with any employee share option or other benefit plan, (b) pursuant to a registration statement on Form F-4 (or similar form that relates to a transaction subject to Rule 145 under the Securities Act or any successor rule thereto), (c) for an exchange offer or offering of securities solely to PubCo’s existing shareholders, (d) for an offering of debt that is convertible into equity securities of PubCo or (e) for a dividend reinvestment plan, then PubCo shall give written notice of such proposed filing to all Holders of Registrable Securities as soon as practicable but not less than ten (10) calendar days before the anticipated filing date of such Registration Statement, which notice shall (i) describe the amount and type of securities to be included in such offering, the intended method(s) of distribution, and the name of the proposed managing Underwriter or Underwriters, if any, in such offering, and (ii) offer to all Holders of Registrable Securities the opportunity to register the sale of such number of Registrable Securities as such Holders may request in writing within (a) five (5) calendar days in the case of filing a registration statement, prospectus or prospectus supplement and (b) three (3) calendar days in the case of an Underwritten Offering (unless such offering is an overnight or bought Underwritten Offering, then one (1) calendar day), in each case after receipt of such written notice (such Registration a “</w:t>
      </w:r>
      <w:r>
        <w:rPr>
          <w:rFonts w:ascii="Times New Roman" w:cs="Times New Roman" w:eastAsia="Times New Roman" w:hAnsi="Times New Roman"/>
          <w:sz w:val="21"/>
          <w:szCs w:val="21"/>
          <w:b w:val="1"/>
          <w:bCs w:val="1"/>
          <w:i w:val="1"/>
          <w:iCs w:val="1"/>
          <w:color w:val="auto"/>
        </w:rPr>
        <w:t>Piggyback Registration</w:t>
      </w:r>
      <w:r>
        <w:rPr>
          <w:rFonts w:ascii="Times New Roman" w:cs="Times New Roman" w:eastAsia="Times New Roman" w:hAnsi="Times New Roman"/>
          <w:sz w:val="21"/>
          <w:szCs w:val="21"/>
          <w:color w:val="auto"/>
        </w:rPr>
        <w:t xml:space="preserve">”). PubCo shall, in good faith, cause such Registrable Securities to be included in such Piggyback Registration and shall use its commercially reasonable efforts to cause the managing Underwriter or Underwriters of a proposed Underwritten Offering to permit the Registrable Securities requested by Holders pursuant to this </w:t>
      </w:r>
      <w:r>
        <w:rPr>
          <w:rFonts w:ascii="Times New Roman" w:cs="Times New Roman" w:eastAsia="Times New Roman" w:hAnsi="Times New Roman"/>
          <w:sz w:val="21"/>
          <w:szCs w:val="21"/>
          <w:u w:val="single" w:color="auto"/>
          <w:color w:val="auto"/>
        </w:rPr>
        <w:t>subsection 2.2.1</w:t>
      </w:r>
      <w:r>
        <w:rPr>
          <w:rFonts w:ascii="Times New Roman" w:cs="Times New Roman" w:eastAsia="Times New Roman" w:hAnsi="Times New Roman"/>
          <w:sz w:val="21"/>
          <w:szCs w:val="21"/>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Holder is received within the specified time, each such Holder shall have no further right to participate in such Piggyback Registration pursuant to this </w:t>
      </w:r>
      <w:r>
        <w:rPr>
          <w:rFonts w:ascii="Times New Roman" w:cs="Times New Roman" w:eastAsia="Times New Roman" w:hAnsi="Times New Roman"/>
          <w:sz w:val="21"/>
          <w:szCs w:val="21"/>
          <w:u w:val="single" w:color="auto"/>
          <w:color w:val="auto"/>
        </w:rPr>
        <w:t>subsection 2.2.1</w:t>
      </w:r>
      <w:r>
        <w:rPr>
          <w:rFonts w:ascii="Times New Roman" w:cs="Times New Roman" w:eastAsia="Times New Roman" w:hAnsi="Times New Roman"/>
          <w:sz w:val="21"/>
          <w:szCs w:val="21"/>
          <w:color w:val="auto"/>
        </w:rPr>
        <w:t xml:space="preserve">. All such Holders proposing to distribute their Registrable Securities through an Underwritten Offering under this </w:t>
      </w:r>
      <w:r>
        <w:rPr>
          <w:rFonts w:ascii="Times New Roman" w:cs="Times New Roman" w:eastAsia="Times New Roman" w:hAnsi="Times New Roman"/>
          <w:sz w:val="21"/>
          <w:szCs w:val="21"/>
          <w:u w:val="single" w:color="auto"/>
          <w:color w:val="auto"/>
        </w:rPr>
        <w:t>subsection 2.2.1</w:t>
      </w:r>
      <w:r>
        <w:rPr>
          <w:rFonts w:ascii="Times New Roman" w:cs="Times New Roman" w:eastAsia="Times New Roman" w:hAnsi="Times New Roman"/>
          <w:sz w:val="21"/>
          <w:szCs w:val="21"/>
          <w:color w:val="auto"/>
        </w:rPr>
        <w:t xml:space="preserve"> shall enter into an underwriting agreement in customary form with the Underwriter(s) selected for such Underwritten Offering by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4" w:name="page75"/>
    <w:bookmarkEnd w:id="74"/>
    <w:p>
      <w:pPr>
        <w:jc w:val="both"/>
        <w:ind w:left="300" w:right="299" w:firstLine="1296"/>
        <w:spacing w:after="0" w:line="233" w:lineRule="auto"/>
        <w:rPr>
          <w:sz w:val="20"/>
          <w:szCs w:val="20"/>
          <w:color w:val="auto"/>
        </w:rPr>
      </w:pPr>
      <w:r>
        <w:rPr>
          <w:rFonts w:ascii="Times New Roman" w:cs="Times New Roman" w:eastAsia="Times New Roman" w:hAnsi="Times New Roman"/>
          <w:sz w:val="22"/>
          <w:szCs w:val="22"/>
          <w:color w:val="auto"/>
        </w:rPr>
        <w:t>2.2.2.</w:t>
      </w:r>
      <w:r>
        <w:rPr>
          <w:rFonts w:ascii="Times New Roman" w:cs="Times New Roman" w:eastAsia="Times New Roman" w:hAnsi="Times New Roman"/>
          <w:sz w:val="22"/>
          <w:szCs w:val="22"/>
          <w:u w:val="single" w:color="auto"/>
          <w:color w:val="auto"/>
        </w:rPr>
        <w:t>Reduction of Piggyback Registration</w:t>
      </w:r>
      <w:r>
        <w:rPr>
          <w:rFonts w:ascii="Times New Roman" w:cs="Times New Roman" w:eastAsia="Times New Roman" w:hAnsi="Times New Roman"/>
          <w:sz w:val="22"/>
          <w:szCs w:val="22"/>
          <w:color w:val="auto"/>
        </w:rPr>
        <w:t xml:space="preserve">. If the managing Underwriter or Underwriters in an Underwritten Registration that is to be a Piggyback Registration, in good faith, advises PubCo and Holders of Registrable Securities participating in the Piggyback Registration in writing that the dollar amount or number of PubCo Ordinary Shares that PubCo desires to sell, taken together with (i) PubCo Ordinary Shares, if any, as to which Registration has been demanded pursuant to separate written contractual arrangements with persons or entities other than Holders of Registrable Securities hereunder, (ii) the Registrable Securities as to which registration has been requested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and (iii) PubCo Ordinary Shares, if any, as to which Registration has been requested pursuant to separate written contractual piggyback registration rights of other shareholders of PubCo, exceeds the Maximum Number of Securities, then:</w:t>
      </w:r>
    </w:p>
    <w:p>
      <w:pPr>
        <w:spacing w:after="0" w:line="187" w:lineRule="exact"/>
        <w:rPr>
          <w:sz w:val="20"/>
          <w:szCs w:val="20"/>
          <w:color w:val="auto"/>
        </w:rPr>
      </w:pPr>
    </w:p>
    <w:p>
      <w:pPr>
        <w:jc w:val="both"/>
        <w:ind w:left="300" w:right="299" w:firstLine="1288"/>
        <w:spacing w:after="0" w:line="233" w:lineRule="auto"/>
        <w:tabs>
          <w:tab w:leader="none" w:pos="206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Registration is undertaken for PubCo’s account, PubCo shall include in any such Registration (i) first, PubCo Ordinary Shares or other equity securities that PubCo desires to sell, which can be sold without exceeding the Maximum Number of Securities; (ii) 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22"/>
          <w:szCs w:val="22"/>
          <w:u w:val="single" w:color="auto"/>
          <w:color w:val="auto"/>
        </w:rPr>
        <w:t>subsection 2.2.1</w:t>
      </w:r>
      <w:r>
        <w:rPr>
          <w:rFonts w:ascii="Times New Roman" w:cs="Times New Roman" w:eastAsia="Times New Roman" w:hAnsi="Times New Roman"/>
          <w:sz w:val="22"/>
          <w:szCs w:val="22"/>
          <w:color w:val="auto"/>
        </w:rPr>
        <w:t xml:space="preserve"> hereof, Pro Rata based on the respective number of Registrable Securities that each Holder has so requested, which can be sold without exceeding the Maximum Number of Securities; and (iii) third, to the extent that the Maximum Number of Securities has not been reached under the foregoing clauses (i) and (ii), PubCo Ordinary Shares, if any, as to which Registration has been requested pursuant to written contractual piggyback registration rights of other shareholders of PubCo, which can be sold without exceeding the Maximum Number of Securities;</w:t>
      </w:r>
    </w:p>
    <w:p>
      <w:pPr>
        <w:spacing w:after="0" w:line="184" w:lineRule="exact"/>
        <w:rPr>
          <w:rFonts w:ascii="Times New Roman" w:cs="Times New Roman" w:eastAsia="Times New Roman" w:hAnsi="Times New Roman"/>
          <w:sz w:val="22"/>
          <w:szCs w:val="22"/>
          <w:color w:val="auto"/>
        </w:rPr>
      </w:pPr>
    </w:p>
    <w:p>
      <w:pPr>
        <w:jc w:val="both"/>
        <w:ind w:left="300" w:right="299" w:firstLine="1288"/>
        <w:spacing w:after="0" w:line="243" w:lineRule="auto"/>
        <w:tabs>
          <w:tab w:leader="none" w:pos="206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Registration is pursuant to a request by persons or entities other than Holders of Registrable Securities, then PubCo shall include in any such Registration (i) first, PubCo Ordinary Shares or other equity securities, if any, of such requesting persons or entities, other than Holders of Registrable Securities, which can be sold without exceeding the Maximum Number of Securities; (ii) second, to the extent that the Maximum Number of Securities has not been reached under the foregoing clause (i), the Registrable Securities of Holders exercising their rights to register their Registrable Securities pursuant to </w:t>
      </w:r>
      <w:r>
        <w:rPr>
          <w:rFonts w:ascii="Times New Roman" w:cs="Times New Roman" w:eastAsia="Times New Roman" w:hAnsi="Times New Roman"/>
          <w:sz w:val="21"/>
          <w:szCs w:val="21"/>
          <w:u w:val="single" w:color="auto"/>
          <w:color w:val="auto"/>
        </w:rPr>
        <w:t>subsection 2.2.1</w:t>
      </w:r>
      <w:r>
        <w:rPr>
          <w:rFonts w:ascii="Times New Roman" w:cs="Times New Roman" w:eastAsia="Times New Roman" w:hAnsi="Times New Roman"/>
          <w:sz w:val="21"/>
          <w:szCs w:val="21"/>
          <w:color w:val="auto"/>
        </w:rPr>
        <w:t>, Pro Rata based on the respective number of Registrable Securities that each Holder has requested be included in such Underwritten Registration and the aggregate number of Registrable Securities that Holders have requested be included in such Underwritten Registration, which can be sold without exceeding the Maximum Number of Securities; (iii) third, to the extent that the Maximum Number of Securities has not been reached under the foregoing clauses (i) and (ii), PubCo Ordinary Shares or other equity securities that PubCo desires to sell, which can be sold without exceeding the Maximum Number of Securities; and (iv) fourth, to the extent that the Maximum Number of Securities has not been reached under the foregoing clauses (i), (ii) and (iii), PubCo Ordinary Shares or other equity securities for the account of other persons or entities that PubCo is obligated to register pursuant to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5" w:name="page76"/>
    <w:bookmarkEnd w:id="75"/>
    <w:p>
      <w:pPr>
        <w:jc w:val="both"/>
        <w:ind w:left="300" w:right="299" w:firstLine="1296"/>
        <w:spacing w:after="0" w:line="244" w:lineRule="auto"/>
        <w:rPr>
          <w:sz w:val="20"/>
          <w:szCs w:val="20"/>
          <w:color w:val="auto"/>
        </w:rPr>
      </w:pPr>
      <w:r>
        <w:rPr>
          <w:rFonts w:ascii="Times New Roman" w:cs="Times New Roman" w:eastAsia="Times New Roman" w:hAnsi="Times New Roman"/>
          <w:sz w:val="21"/>
          <w:szCs w:val="21"/>
          <w:color w:val="auto"/>
        </w:rPr>
        <w:t>2.2.3.</w:t>
      </w:r>
      <w:r>
        <w:rPr>
          <w:rFonts w:ascii="Times New Roman" w:cs="Times New Roman" w:eastAsia="Times New Roman" w:hAnsi="Times New Roman"/>
          <w:sz w:val="21"/>
          <w:szCs w:val="21"/>
          <w:u w:val="single" w:color="auto"/>
          <w:color w:val="auto"/>
        </w:rPr>
        <w:t>Piggyback Registration Withdrawal</w:t>
      </w:r>
      <w:r>
        <w:rPr>
          <w:rFonts w:ascii="Times New Roman" w:cs="Times New Roman" w:eastAsia="Times New Roman" w:hAnsi="Times New Roman"/>
          <w:sz w:val="21"/>
          <w:szCs w:val="21"/>
          <w:color w:val="auto"/>
        </w:rPr>
        <w:t xml:space="preserve">. Any Holder of Registrable Securities shall have the right to withdraw from a Piggyback Registration for any or no reason whatsoever upon written notification to PubCo and the Underwriter or Underwriters (if any) of his, her or its intention to withdraw from such Piggyback Registration at least three (3) business days prior to the earlier of (i) the effectiveness of the Registration Statement filed with the Commission with respect to such Piggyback Registration or (ii) the filing of the applicable “red herring” prospectus or prospectus supplement used for marketing the Underwritten Offering with respect to such Piggyback Registration.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or abandon an Underwritten Offering in connection with a Piggyback Registration at any time prior to the filing of the applicable “red herring” prospectus or prospectus supplement used for marketing such Underwritten Offering. Notwithstanding anything to the contrary in this Agreement, PubCo shall be responsible for the Registration Expenses incurred in connection with the Piggyback Registration prior to any withdrawal under this </w:t>
      </w:r>
      <w:r>
        <w:rPr>
          <w:rFonts w:ascii="Times New Roman" w:cs="Times New Roman" w:eastAsia="Times New Roman" w:hAnsi="Times New Roman"/>
          <w:sz w:val="21"/>
          <w:szCs w:val="21"/>
          <w:u w:val="single" w:color="auto"/>
          <w:color w:val="auto"/>
        </w:rPr>
        <w:t>subsection 2.2.3</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2"/>
          <w:szCs w:val="22"/>
          <w:color w:val="auto"/>
        </w:rPr>
        <w:t>2.2.4.</w:t>
      </w:r>
      <w:r>
        <w:rPr>
          <w:rFonts w:ascii="Times New Roman" w:cs="Times New Roman" w:eastAsia="Times New Roman" w:hAnsi="Times New Roman"/>
          <w:sz w:val="22"/>
          <w:szCs w:val="22"/>
          <w:u w:val="single" w:color="auto"/>
          <w:color w:val="auto"/>
        </w:rPr>
        <w:t>Unlimited Piggyback Registration Rights</w:t>
      </w:r>
      <w:r>
        <w:rPr>
          <w:rFonts w:ascii="Times New Roman" w:cs="Times New Roman" w:eastAsia="Times New Roman" w:hAnsi="Times New Roman"/>
          <w:sz w:val="22"/>
          <w:szCs w:val="22"/>
          <w:color w:val="auto"/>
        </w:rPr>
        <w:t xml:space="preserve">. For purposes of clarity, any Registration effected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shall not be counted as a Registration pursuant to a Demand Registration effected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hereof.</w:t>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color w:val="auto"/>
        </w:rPr>
        <w:t>Shelf Registration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00" w:right="319" w:firstLine="1296"/>
        <w:spacing w:after="0" w:line="253" w:lineRule="auto"/>
        <w:rPr>
          <w:sz w:val="20"/>
          <w:szCs w:val="20"/>
          <w:color w:val="auto"/>
        </w:rPr>
      </w:pPr>
      <w:r>
        <w:rPr>
          <w:rFonts w:ascii="Times New Roman" w:cs="Times New Roman" w:eastAsia="Times New Roman" w:hAnsi="Times New Roman"/>
          <w:sz w:val="21"/>
          <w:szCs w:val="21"/>
          <w:color w:val="auto"/>
        </w:rPr>
        <w:t>2.3.1.</w:t>
      </w:r>
      <w:r>
        <w:rPr>
          <w:rFonts w:ascii="Times New Roman" w:cs="Times New Roman" w:eastAsia="Times New Roman" w:hAnsi="Times New Roman"/>
          <w:sz w:val="21"/>
          <w:szCs w:val="21"/>
          <w:u w:val="single" w:color="auto"/>
          <w:color w:val="auto"/>
        </w:rPr>
        <w:t>Registration Statement Covering Resale of Registrable Securities</w:t>
      </w:r>
      <w:r>
        <w:rPr>
          <w:rFonts w:ascii="Times New Roman" w:cs="Times New Roman" w:eastAsia="Times New Roman" w:hAnsi="Times New Roman"/>
          <w:sz w:val="21"/>
          <w:szCs w:val="21"/>
          <w:color w:val="auto"/>
        </w:rPr>
        <w:t>. PubCo shall prepare and file or cause to be prepared and filed with the Commission, no later than ninety</w:t>
      </w:r>
    </w:p>
    <w:p>
      <w:pPr>
        <w:spacing w:after="0" w:line="1" w:lineRule="exact"/>
        <w:rPr>
          <w:sz w:val="20"/>
          <w:szCs w:val="20"/>
          <w:color w:val="auto"/>
        </w:rPr>
      </w:pPr>
    </w:p>
    <w:p>
      <w:pPr>
        <w:jc w:val="both"/>
        <w:ind w:left="300" w:right="299" w:hanging="8"/>
        <w:spacing w:after="0" w:line="231" w:lineRule="auto"/>
        <w:tabs>
          <w:tab w:leader="none" w:pos="737"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Closing Date (the “</w:t>
      </w:r>
      <w:r>
        <w:rPr>
          <w:rFonts w:ascii="Times New Roman" w:cs="Times New Roman" w:eastAsia="Times New Roman" w:hAnsi="Times New Roman"/>
          <w:sz w:val="22"/>
          <w:szCs w:val="22"/>
          <w:b w:val="1"/>
          <w:bCs w:val="1"/>
          <w:i w:val="1"/>
          <w:iCs w:val="1"/>
          <w:color w:val="auto"/>
        </w:rPr>
        <w:t>Filing Deadline</w:t>
      </w:r>
      <w:r>
        <w:rPr>
          <w:rFonts w:ascii="Times New Roman" w:cs="Times New Roman" w:eastAsia="Times New Roman" w:hAnsi="Times New Roman"/>
          <w:sz w:val="22"/>
          <w:szCs w:val="22"/>
          <w:color w:val="auto"/>
        </w:rPr>
        <w:t>”), a Registration Statement for an offering to be made on a continuous basis pursuant to Rule 415 of the Securities Act or any successor thereto registering the resale from time to time by Holders of all of the Registrable Securities held by the Holders and by Company Shareholders of all PubCo Ordinary Shares that the Company Shareholders received in exchange for their Company Ordinary Shares at the Jersey Effective Time (the “</w:t>
      </w:r>
      <w:r>
        <w:rPr>
          <w:rFonts w:ascii="Times New Roman" w:cs="Times New Roman" w:eastAsia="Times New Roman" w:hAnsi="Times New Roman"/>
          <w:sz w:val="22"/>
          <w:szCs w:val="22"/>
          <w:b w:val="1"/>
          <w:bCs w:val="1"/>
          <w:i w:val="1"/>
          <w:iCs w:val="1"/>
          <w:color w:val="auto"/>
        </w:rPr>
        <w:t>Resale Shelf Registration Statement</w:t>
      </w:r>
      <w:r>
        <w:rPr>
          <w:rFonts w:ascii="Times New Roman" w:cs="Times New Roman" w:eastAsia="Times New Roman" w:hAnsi="Times New Roman"/>
          <w:sz w:val="22"/>
          <w:szCs w:val="22"/>
          <w:color w:val="auto"/>
        </w:rPr>
        <w:t xml:space="preserve">”). The Resale Shelf Registration Statement shall be on Form F-3 (or, if Form F-3 is not available to be used by PubCo at such time, on Form F-1 or another appropriate form permitting Registration of such Registrable Securities for resale). If the Resale Shelf Registration Statement is initially filed on Form F-1 and thereafter PubCo becomes eligible to use Form F-3 for secondary sales, PubCo shall, as promptly as reasonably practicable, cause such Resale Shelf Registration Statement to be amended, or shall file a new replacement Resale Shelf Registration Statement, such that the Resale Shelf Registration Statement is on Form F-3. PubCo shall use reasonable best efforts to cause the Resale Shelf Registration Statement to be declared effective as soon as possible after the Filing Deadline;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PubCo’s obligations to include the Registrable Securities held by a Holder in the Resale Shelf Registration Statement are contingent upon such Holder furnishing in writing to PubCo such information regarding the Holder, the securities of PubCo held by the Holder and the intended method of disposition of the Registrable Securities as shall be reasonably requested by PubCo to effect the registration of the Registrable Securities, and the Holder shall execute such documents in connection with such registration as PubCo may reasonably request that are customary of a selling shareholder in similar situations. Once effective, PubCo shall use reasonable best efforts to keep the Resale Shelf Registration Statement and Prospectus included therein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6" w:name="page77"/>
    <w:bookmarkEnd w:id="76"/>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 xml:space="preserve">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Times New Roman" w:cs="Times New Roman" w:eastAsia="Times New Roman" w:hAnsi="Times New Roman"/>
          <w:sz w:val="22"/>
          <w:szCs w:val="22"/>
          <w:u w:val="single" w:color="auto"/>
          <w:color w:val="auto"/>
        </w:rPr>
        <w:t>subsection 2.3.1</w:t>
      </w:r>
      <w:r>
        <w:rPr>
          <w:rFonts w:ascii="Times New Roman" w:cs="Times New Roman" w:eastAsia="Times New Roman" w:hAnsi="Times New Roman"/>
          <w:sz w:val="22"/>
          <w:szCs w:val="22"/>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applicable lock-up restrictions), and shall provide that such Registrable Securities may be sold pursuant to any method or combination of methods legally available to, and requested by, Holders.</w:t>
      </w:r>
    </w:p>
    <w:p>
      <w:pPr>
        <w:spacing w:after="0" w:line="180" w:lineRule="exact"/>
        <w:rPr>
          <w:sz w:val="20"/>
          <w:szCs w:val="20"/>
          <w:color w:val="auto"/>
        </w:rPr>
      </w:pPr>
    </w:p>
    <w:p>
      <w:pPr>
        <w:jc w:val="both"/>
        <w:ind w:left="300" w:right="299" w:firstLine="1296"/>
        <w:spacing w:after="0" w:line="231" w:lineRule="auto"/>
        <w:rPr>
          <w:sz w:val="20"/>
          <w:szCs w:val="20"/>
          <w:color w:val="auto"/>
        </w:rPr>
      </w:pPr>
      <w:r>
        <w:rPr>
          <w:rFonts w:ascii="Times New Roman" w:cs="Times New Roman" w:eastAsia="Times New Roman" w:hAnsi="Times New Roman"/>
          <w:sz w:val="22"/>
          <w:szCs w:val="22"/>
          <w:color w:val="auto"/>
        </w:rPr>
        <w:t>2.3.2.</w:t>
      </w:r>
      <w:r>
        <w:rPr>
          <w:rFonts w:ascii="Times New Roman" w:cs="Times New Roman" w:eastAsia="Times New Roman" w:hAnsi="Times New Roman"/>
          <w:sz w:val="22"/>
          <w:szCs w:val="22"/>
          <w:u w:val="single" w:color="auto"/>
          <w:color w:val="auto"/>
        </w:rPr>
        <w:t>Commission Cutback</w:t>
      </w:r>
      <w:r>
        <w:rPr>
          <w:rFonts w:ascii="Times New Roman" w:cs="Times New Roman" w:eastAsia="Times New Roman" w:hAnsi="Times New Roman"/>
          <w:sz w:val="22"/>
          <w:szCs w:val="22"/>
          <w:color w:val="auto"/>
        </w:rPr>
        <w:t>. Notwithstanding the registration obligations set forth in this Section 2.3, in the event the Commission informs PubCo that all of the Registrable Securities cannot, as a result of the application of Rule 415, be registered for resale as a secondary offering on a single registration statement, PubCo agrees to promptly (i) inform each of the Holders thereof and use its reasonable best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22"/>
          <w:szCs w:val="22"/>
          <w:b w:val="1"/>
          <w:bCs w:val="1"/>
          <w:i w:val="1"/>
          <w:iCs w:val="1"/>
          <w:color w:val="auto"/>
        </w:rPr>
        <w:t>New Registration Statement</w:t>
      </w:r>
      <w:r>
        <w:rPr>
          <w:rFonts w:ascii="Times New Roman" w:cs="Times New Roman" w:eastAsia="Times New Roman" w:hAnsi="Times New Roman"/>
          <w:sz w:val="22"/>
          <w:szCs w:val="22"/>
          <w:color w:val="auto"/>
        </w:rPr>
        <w:t xml:space="preserve">”) on Form F-3, or if Form F-3 is not then available to PubCo for such registration statement, on such other form available to register for resale the Registrable Securities as a secondary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prior to filing such amendment or New Registration Statement, PubCo shall use its reasonable best efforts to advocate with the Commission for the registration of all of the Registrable Securities in accordance with any publicly available written or oral guidance, comments, requirements or requests of the Commission staff (the “</w:t>
      </w:r>
      <w:r>
        <w:rPr>
          <w:rFonts w:ascii="Times New Roman" w:cs="Times New Roman" w:eastAsia="Times New Roman" w:hAnsi="Times New Roman"/>
          <w:sz w:val="22"/>
          <w:szCs w:val="22"/>
          <w:b w:val="1"/>
          <w:bCs w:val="1"/>
          <w:i w:val="1"/>
          <w:iCs w:val="1"/>
          <w:color w:val="auto"/>
        </w:rPr>
        <w:t>SEC Guidance</w:t>
      </w:r>
      <w:r>
        <w:rPr>
          <w:rFonts w:ascii="Times New Roman" w:cs="Times New Roman" w:eastAsia="Times New Roman" w:hAnsi="Times New Roman"/>
          <w:sz w:val="22"/>
          <w:szCs w:val="22"/>
          <w:color w:val="auto"/>
        </w:rPr>
        <w:t>”). Notwithstanding any other provision of this Agreement, if any SEC Guidance sets forth a limitation on the number of Registrable Securities permitted to be registered on a particular Registration Statement as a secondary offering (and notwithstanding that PubCo used reasonable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subject to a determination by the Commission that certain Holders must be reduced first based on the number of Registrable Securities held by such Holders. In the event PubCo amends the Resale Shelf Registration Statement or files a New Registration Statement, as the case may be, under clauses (i) or (ii) above, PubCo will use its reasonable best efforts to file with the Commission, as promptly as allowed by the Commission or SEC Guidance provided to PubCo or to registrants of securities in general, one or more registration statements on Form F-3 or such other form available to register for resale those Registrable Securities that were not registered for resale on the Resale Shelf Registration Statement, as amended, or the New Registration Statement.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7" w:name="page78"/>
    <w:bookmarkEnd w:id="77"/>
    <w:p>
      <w:pPr>
        <w:jc w:val="both"/>
        <w:ind w:left="300" w:right="299" w:firstLine="1296"/>
        <w:spacing w:after="0" w:line="235" w:lineRule="auto"/>
        <w:rPr>
          <w:sz w:val="20"/>
          <w:szCs w:val="20"/>
          <w:color w:val="auto"/>
        </w:rPr>
      </w:pPr>
      <w:r>
        <w:rPr>
          <w:rFonts w:ascii="Times New Roman" w:cs="Times New Roman" w:eastAsia="Times New Roman" w:hAnsi="Times New Roman"/>
          <w:sz w:val="22"/>
          <w:szCs w:val="22"/>
          <w:color w:val="auto"/>
        </w:rPr>
        <w:t>2.3.3.</w:t>
      </w:r>
      <w:r>
        <w:rPr>
          <w:rFonts w:ascii="Times New Roman" w:cs="Times New Roman" w:eastAsia="Times New Roman" w:hAnsi="Times New Roman"/>
          <w:sz w:val="22"/>
          <w:szCs w:val="22"/>
          <w:u w:val="single" w:color="auto"/>
          <w:color w:val="auto"/>
        </w:rPr>
        <w:t>Underwritten Shelf Offerings</w:t>
      </w:r>
      <w:r>
        <w:rPr>
          <w:rFonts w:ascii="Times New Roman" w:cs="Times New Roman" w:eastAsia="Times New Roman" w:hAnsi="Times New Roman"/>
          <w:sz w:val="22"/>
          <w:szCs w:val="22"/>
          <w:color w:val="auto"/>
        </w:rPr>
        <w:t xml:space="preserve">. At any time that a Resale Shelf Registration Statement is effective, if any Demanding Holder delivers a notice to PubCo pursuant to </w:t>
      </w:r>
      <w:r>
        <w:rPr>
          <w:rFonts w:ascii="Times New Roman" w:cs="Times New Roman" w:eastAsia="Times New Roman" w:hAnsi="Times New Roman"/>
          <w:sz w:val="22"/>
          <w:szCs w:val="22"/>
          <w:u w:val="single" w:color="auto"/>
          <w:color w:val="auto"/>
        </w:rPr>
        <w:t>subsection 2.1.3</w:t>
      </w:r>
      <w:r>
        <w:rPr>
          <w:rFonts w:ascii="Times New Roman" w:cs="Times New Roman" w:eastAsia="Times New Roman" w:hAnsi="Times New Roman"/>
          <w:sz w:val="22"/>
          <w:szCs w:val="22"/>
          <w:color w:val="auto"/>
        </w:rPr>
        <w:t xml:space="preserve"> stating the intention to sell all or part such Holders’ Registrable Securities included on the Shelf Registration Statement in an Underwritten Offering, then PubCo shall promptly amend or supplement the Shelf Registration Statement, as may be necessary in order to enable such Registrable Securities to be distributed pursuant to an Underwritten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subsections 2.1.3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2.1.4</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color w:val="auto"/>
        </w:rPr>
        <w:t>Restrictions on Registration Rights</w:t>
      </w:r>
      <w:r>
        <w:rPr>
          <w:rFonts w:ascii="Times New Roman" w:cs="Times New Roman" w:eastAsia="Times New Roman" w:hAnsi="Times New Roman"/>
          <w:sz w:val="22"/>
          <w:szCs w:val="22"/>
          <w:color w:val="auto"/>
        </w:rPr>
        <w:t xml:space="preserve">. If Holders have requested an Underwritten Registration and (a) PubCo and Holders are unable to obtain the commitment of underwriters to firmly underwrite the offer, or (b) the filing, initial effectiveness, or continued use of a Registration Statement in respect of such Underwritten Offering at any time would require the inclusion in such Registration Statement of financial statements that are unavailable to PubCo for reasons beyond PubCo’s control, or (iii) in the good faith judgment of the Board such Registration would be materially detrimental to PubCo and the Board concludes as a result that it is essential to defer the filing of such Registration Statement at such time, then in each case, PubCo shall furnish to such Holders a certificate signed by the Chairman or another authorized representative of the Board stating that in the good faith judgment of the Board it would be materially detrimental to PubCo for such Registration Statement to be filed in the near future and that it is therefore essential to defer the filing of such Registration Statement. In such event, PubCo shall have the right to defer such filing for a period of not more than thirty (30) calendar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PubCo shall not defer its obligation in this manner more than once in any 12-month period.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PUBCO PROCEDURES</w:t>
      </w:r>
    </w:p>
    <w:p>
      <w:pPr>
        <w:spacing w:after="0" w:line="178"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b w:val="1"/>
          <w:bCs w:val="1"/>
          <w:color w:val="auto"/>
        </w:rPr>
        <w:t>General Procedures</w:t>
      </w:r>
      <w:r>
        <w:rPr>
          <w:rFonts w:ascii="Times New Roman" w:cs="Times New Roman" w:eastAsia="Times New Roman" w:hAnsi="Times New Roman"/>
          <w:sz w:val="22"/>
          <w:szCs w:val="22"/>
          <w:color w:val="auto"/>
        </w:rPr>
        <w:t>. If at any time on or after the Closing Date, PubCo is required to effect the Registration of Registrable Securities, PubCo shall use its commercially reasonable efforts to effect such Registration to permit the sale of such Registrable Securities in accordance with the intended plan of distribution thereof, and pursuant thereto PubCo shall, as expeditiously as reasonably possible:</w:t>
      </w:r>
    </w:p>
    <w:p>
      <w:pPr>
        <w:spacing w:after="0" w:line="181"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3.1.1.prepare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 or are no longer outstanding (such period, the “</w:t>
      </w:r>
      <w:r>
        <w:rPr>
          <w:rFonts w:ascii="Times New Roman" w:cs="Times New Roman" w:eastAsia="Times New Roman" w:hAnsi="Times New Roman"/>
          <w:sz w:val="22"/>
          <w:szCs w:val="22"/>
          <w:b w:val="1"/>
          <w:bCs w:val="1"/>
          <w:i w:val="1"/>
          <w:iCs w:val="1"/>
          <w:color w:val="auto"/>
        </w:rPr>
        <w:t>Effectiveness Period</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3.1.2.prepare and file with the Commission such amendments and post-effective amendments to the Registration Statement, and such supplements to the Prospectus used in connection therewith as may be necessary under applicable law to keep such Registration Statement continuously effective with respect to the disposition of all Registrable Securities thereby for its Effectiveness Period;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8" w:name="page79"/>
    <w:bookmarkEnd w:id="78"/>
    <w:p>
      <w:pPr>
        <w:jc w:val="both"/>
        <w:ind w:left="300" w:right="29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3.1.3.prior to filing or confidentially submitting a Registration Statement or prospectus, or any amendment or supplement thereto, furnish without charge to the Underwriters, if any, and each Holder of Registrable Securities included in such Registration, and each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each Holder of Registrable Securities included in such Registration or the legal counsel for any such Holders may reasonably request in order to facilitate the disposition of the Registrable Securities owned by such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PubCo will not have any obligation to provide any document pursuant to this clause that is available on the Commission’s EDGAR system;</w:t>
      </w:r>
    </w:p>
    <w:p>
      <w:pPr>
        <w:spacing w:after="0" w:line="185" w:lineRule="exact"/>
        <w:rPr>
          <w:sz w:val="20"/>
          <w:szCs w:val="20"/>
          <w:color w:val="auto"/>
        </w:rPr>
      </w:pPr>
    </w:p>
    <w:p>
      <w:pPr>
        <w:jc w:val="both"/>
        <w:ind w:left="300" w:right="29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3.1.4.prior to any public offering of Registrable Securities, use its commercially reasonable efforts to (i) register or qualify the Registrable Securities covered by the Registration Statement under such securities or “blue sky” laws of such jurisdictions in the United States as any Holder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Holders of Registrable Securities included in such Registration Statement to consummate the disposition of such Registrable Securities in such jurisdictions;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PubCo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0" w:lineRule="exact"/>
        <w:rPr>
          <w:sz w:val="20"/>
          <w:szCs w:val="20"/>
          <w:color w:val="auto"/>
        </w:rPr>
      </w:pPr>
    </w:p>
    <w:p>
      <w:pPr>
        <w:jc w:val="both"/>
        <w:ind w:left="300" w:right="319" w:firstLine="1296"/>
        <w:spacing w:after="0" w:line="282" w:lineRule="auto"/>
        <w:rPr>
          <w:sz w:val="20"/>
          <w:szCs w:val="20"/>
          <w:color w:val="auto"/>
        </w:rPr>
      </w:pPr>
      <w:r>
        <w:rPr>
          <w:rFonts w:ascii="Times New Roman" w:cs="Times New Roman" w:eastAsia="Times New Roman" w:hAnsi="Times New Roman"/>
          <w:sz w:val="21"/>
          <w:szCs w:val="21"/>
          <w:color w:val="auto"/>
        </w:rPr>
        <w:t>3.1.5.cause all such Registrable Securities to be listed on each securities exchange or automated quotation system on which similar securities issued by PubCo are then listed;</w:t>
      </w:r>
    </w:p>
    <w:p>
      <w:pPr>
        <w:spacing w:after="0" w:line="135" w:lineRule="exact"/>
        <w:rPr>
          <w:sz w:val="20"/>
          <w:szCs w:val="20"/>
          <w:color w:val="auto"/>
        </w:rPr>
      </w:pPr>
    </w:p>
    <w:p>
      <w:pPr>
        <w:jc w:val="both"/>
        <w:ind w:left="300" w:right="299" w:firstLine="1296"/>
        <w:spacing w:after="0" w:line="258" w:lineRule="auto"/>
        <w:rPr>
          <w:sz w:val="20"/>
          <w:szCs w:val="20"/>
          <w:color w:val="auto"/>
        </w:rPr>
      </w:pPr>
      <w:r>
        <w:rPr>
          <w:rFonts w:ascii="Times New Roman" w:cs="Times New Roman" w:eastAsia="Times New Roman" w:hAnsi="Times New Roman"/>
          <w:sz w:val="22"/>
          <w:szCs w:val="22"/>
          <w:color w:val="auto"/>
        </w:rPr>
        <w:t>3.1.6.provide a transfer agent and registrar for all such Registrable Securities no later than the effective date of such Registration Statement;</w:t>
      </w:r>
    </w:p>
    <w:p>
      <w:pPr>
        <w:spacing w:after="0" w:line="158" w:lineRule="exact"/>
        <w:rPr>
          <w:sz w:val="20"/>
          <w:szCs w:val="20"/>
          <w:color w:val="auto"/>
        </w:rPr>
      </w:pPr>
    </w:p>
    <w:p>
      <w:pPr>
        <w:jc w:val="both"/>
        <w:ind w:left="300" w:right="299" w:firstLine="1296"/>
        <w:spacing w:after="0" w:line="251" w:lineRule="auto"/>
        <w:rPr>
          <w:sz w:val="20"/>
          <w:szCs w:val="20"/>
          <w:color w:val="auto"/>
        </w:rPr>
      </w:pPr>
      <w:r>
        <w:rPr>
          <w:rFonts w:ascii="Times New Roman" w:cs="Times New Roman" w:eastAsia="Times New Roman" w:hAnsi="Times New Roman"/>
          <w:sz w:val="21"/>
          <w:szCs w:val="21"/>
          <w:color w:val="auto"/>
        </w:rPr>
        <w:t>3.1.7.advise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68" w:lineRule="exact"/>
        <w:rPr>
          <w:sz w:val="20"/>
          <w:szCs w:val="20"/>
          <w:color w:val="auto"/>
        </w:rPr>
      </w:pPr>
    </w:p>
    <w:p>
      <w:pPr>
        <w:jc w:val="both"/>
        <w:ind w:left="300" w:right="299" w:firstLine="1296"/>
        <w:spacing w:after="0" w:line="251" w:lineRule="auto"/>
        <w:rPr>
          <w:sz w:val="20"/>
          <w:szCs w:val="20"/>
          <w:color w:val="auto"/>
        </w:rPr>
      </w:pPr>
      <w:r>
        <w:rPr>
          <w:rFonts w:ascii="Times New Roman" w:cs="Times New Roman" w:eastAsia="Times New Roman" w:hAnsi="Times New Roman"/>
          <w:sz w:val="21"/>
          <w:szCs w:val="21"/>
          <w:color w:val="auto"/>
        </w:rPr>
        <w:t>3.1.8.at least five (5) calendar days prior to the filing or confidentially submitting of any Registration Statement or Prospectus or any amendment or supplement 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9" w:name="page80"/>
    <w:bookmarkEnd w:id="79"/>
    <w:p>
      <w:pPr>
        <w:jc w:val="both"/>
        <w:ind w:left="300" w:right="299" w:firstLine="1296"/>
        <w:spacing w:after="0" w:line="255" w:lineRule="auto"/>
        <w:rPr>
          <w:sz w:val="20"/>
          <w:szCs w:val="20"/>
          <w:color w:val="auto"/>
        </w:rPr>
      </w:pPr>
      <w:r>
        <w:rPr>
          <w:rFonts w:ascii="Times New Roman" w:cs="Times New Roman" w:eastAsia="Times New Roman" w:hAnsi="Times New Roman"/>
          <w:sz w:val="21"/>
          <w:szCs w:val="21"/>
          <w:color w:val="auto"/>
        </w:rPr>
        <w:t xml:space="preserve">3.1.9.notify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hereof;</w:t>
      </w:r>
    </w:p>
    <w:p>
      <w:pPr>
        <w:spacing w:after="0" w:line="162"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3.1.10.permit a representative of the Holders (such representative to be selected by a majority-in-interest of the participating Holders), the Underwriters, if any, and any attorney or accountant retained by such Holders or Underwriter to participate, at each such person’s own expense, in the preparation of the Registration Statement, and cause PubCo’s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representatives or Underwriters enter into a confidentiality agreement, in form and substance reasonably satisfactory to PubCo, prior to the release or disclosure of any such information;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PubCo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the such Holder or Underwriter and providing each such Holder or Underwriter a reasonable amount of time to review and comment on such applicable document;</w:t>
      </w:r>
    </w:p>
    <w:p>
      <w:pPr>
        <w:spacing w:after="0" w:line="178"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3.1.11.obtain a “cold comfort” letter from PubCo’s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 in interest of the participating Holders and such managing Underwriter;</w:t>
      </w:r>
    </w:p>
    <w:p>
      <w:pPr>
        <w:spacing w:after="0" w:line="177" w:lineRule="exact"/>
        <w:rPr>
          <w:sz w:val="20"/>
          <w:szCs w:val="20"/>
          <w:color w:val="auto"/>
        </w:rPr>
      </w:pPr>
    </w:p>
    <w:p>
      <w:pPr>
        <w:jc w:val="both"/>
        <w:ind w:left="300" w:right="299" w:firstLine="1296"/>
        <w:spacing w:after="0" w:line="235" w:lineRule="auto"/>
        <w:rPr>
          <w:sz w:val="20"/>
          <w:szCs w:val="20"/>
          <w:color w:val="auto"/>
        </w:rPr>
      </w:pPr>
      <w:r>
        <w:rPr>
          <w:rFonts w:ascii="Times New Roman" w:cs="Times New Roman" w:eastAsia="Times New Roman" w:hAnsi="Times New Roman"/>
          <w:sz w:val="22"/>
          <w:szCs w:val="22"/>
          <w:color w:val="auto"/>
        </w:rPr>
        <w:t>3.1.12.on the date the Registrable Securities are delivered for sale pursuant to such Registration in the event of an Underwritten Registration, obtain an opinion, dated such date, of counsel representing PubCo for the purposes of such Registration, addressed to the Underwriter(s) and the placement agent or sales agent, if any, covering such legal matters with respect to the Registration in respect of which such opinion is being given as the Underwriter(s), placement agent or sales agent may reasonably request and as are customarily included in such opinions and negative assurance letters, and reasonably satisfactory to the Underwriter(s), placement agent or sales agent;</w:t>
      </w:r>
    </w:p>
    <w:p>
      <w:pPr>
        <w:spacing w:after="0" w:line="178" w:lineRule="exact"/>
        <w:rPr>
          <w:sz w:val="20"/>
          <w:szCs w:val="20"/>
          <w:color w:val="auto"/>
        </w:rPr>
      </w:pPr>
    </w:p>
    <w:p>
      <w:pPr>
        <w:jc w:val="both"/>
        <w:ind w:left="300" w:right="319" w:firstLine="1296"/>
        <w:spacing w:after="0" w:line="244" w:lineRule="auto"/>
        <w:rPr>
          <w:sz w:val="20"/>
          <w:szCs w:val="20"/>
          <w:color w:val="auto"/>
        </w:rPr>
      </w:pPr>
      <w:r>
        <w:rPr>
          <w:rFonts w:ascii="Times New Roman" w:cs="Times New Roman" w:eastAsia="Times New Roman" w:hAnsi="Times New Roman"/>
          <w:sz w:val="22"/>
          <w:szCs w:val="22"/>
          <w:color w:val="auto"/>
        </w:rPr>
        <w:t>3.1.13.in the event of any Underwritten Offering, enter into and perform its obligations under an underwriting agreement, in usual and customary form, with the managing Underwriter of such offering;</w:t>
      </w:r>
    </w:p>
    <w:p>
      <w:pPr>
        <w:spacing w:after="0" w:line="173" w:lineRule="exact"/>
        <w:rPr>
          <w:sz w:val="20"/>
          <w:szCs w:val="20"/>
          <w:color w:val="auto"/>
        </w:rPr>
      </w:pPr>
    </w:p>
    <w:p>
      <w:pPr>
        <w:jc w:val="both"/>
        <w:ind w:left="300" w:right="299" w:firstLine="1296"/>
        <w:spacing w:after="0" w:line="236" w:lineRule="auto"/>
        <w:rPr>
          <w:sz w:val="20"/>
          <w:szCs w:val="20"/>
          <w:color w:val="auto"/>
        </w:rPr>
      </w:pPr>
      <w:r>
        <w:rPr>
          <w:rFonts w:ascii="Times New Roman" w:cs="Times New Roman" w:eastAsia="Times New Roman" w:hAnsi="Times New Roman"/>
          <w:sz w:val="22"/>
          <w:szCs w:val="22"/>
          <w:color w:val="auto"/>
        </w:rPr>
        <w:t>3.1.14.make available to its security holders, as soon as reasonably practicable, an earnings statement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 which shall be satisfied by PubCo’s filing such a statement on the Commission’s EDGAR site;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0" w:name="page81"/>
    <w:bookmarkEnd w:id="80"/>
    <w:p>
      <w:pPr>
        <w:jc w:val="both"/>
        <w:ind w:left="300" w:right="299" w:firstLine="1296"/>
        <w:spacing w:after="0" w:line="239" w:lineRule="auto"/>
        <w:rPr>
          <w:sz w:val="20"/>
          <w:szCs w:val="20"/>
          <w:color w:val="auto"/>
        </w:rPr>
      </w:pPr>
      <w:r>
        <w:rPr>
          <w:rFonts w:ascii="Times New Roman" w:cs="Times New Roman" w:eastAsia="Times New Roman" w:hAnsi="Times New Roman"/>
          <w:sz w:val="22"/>
          <w:szCs w:val="22"/>
          <w:color w:val="auto"/>
        </w:rPr>
        <w:t>3.1.15.if the Registration involves the Registration of Registrable Securities involving gross proceeds in excess of $50,000,000, use its reasonable efforts to make available senior executives of PubCo to participate in customary “road show” presentations that may be reasonably requested by the Underwriter in any Underwritten Offering; and</w:t>
      </w:r>
    </w:p>
    <w:p>
      <w:pPr>
        <w:spacing w:after="0" w:line="180"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2"/>
          <w:szCs w:val="22"/>
          <w:color w:val="auto"/>
        </w:rPr>
        <w:t>3.1.16.otherwise, in good faith, cooperate reasonably with, and take such customary actions as may reasonably be requested by Holders, in connection with such Registration.</w:t>
      </w:r>
    </w:p>
    <w:p>
      <w:pPr>
        <w:spacing w:after="0" w:line="169" w:lineRule="exact"/>
        <w:rPr>
          <w:sz w:val="20"/>
          <w:szCs w:val="20"/>
          <w:color w:val="auto"/>
        </w:rPr>
      </w:pPr>
    </w:p>
    <w:p>
      <w:pPr>
        <w:jc w:val="both"/>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b w:val="1"/>
          <w:bCs w:val="1"/>
          <w:color w:val="auto"/>
        </w:rPr>
        <w:t>Registration Expenses</w:t>
      </w:r>
      <w:r>
        <w:rPr>
          <w:rFonts w:ascii="Times New Roman" w:cs="Times New Roman" w:eastAsia="Times New Roman" w:hAnsi="Times New Roman"/>
          <w:sz w:val="22"/>
          <w:szCs w:val="22"/>
          <w:color w:val="auto"/>
        </w:rPr>
        <w:t xml:space="preserve">. The Registration Expenses of all Registrations shall be borne by PubCo,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PubCo shall not be required to pay for more than one (1) registration proceeding with respect to a registration request begun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by the Demanding Holders that is subsequently withdrawn at the request of the Demanding Holders. Any Registration Expenses of Registrations not borne by PubCo pursuant to the immediately preceding sentence shall be borne by the Demanding Holders Pro Rata. It is acknowledged by Holders that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Holders.</w:t>
      </w:r>
    </w:p>
    <w:p>
      <w:pPr>
        <w:spacing w:after="0" w:line="179" w:lineRule="exact"/>
        <w:rPr>
          <w:sz w:val="20"/>
          <w:szCs w:val="20"/>
          <w:color w:val="auto"/>
        </w:rPr>
      </w:pPr>
    </w:p>
    <w:p>
      <w:pPr>
        <w:jc w:val="both"/>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b w:val="1"/>
          <w:bCs w:val="1"/>
          <w:color w:val="auto"/>
        </w:rPr>
        <w:t>Requirements for Participation in Underwritten Offerings</w:t>
      </w:r>
      <w:r>
        <w:rPr>
          <w:rFonts w:ascii="Times New Roman" w:cs="Times New Roman" w:eastAsia="Times New Roman" w:hAnsi="Times New Roman"/>
          <w:sz w:val="22"/>
          <w:szCs w:val="22"/>
          <w:color w:val="auto"/>
        </w:rPr>
        <w:t>. No person may participate in any Underwritten Offering for equity securities of PubCo pursuant to a Registration initiated by PubCo hereunder unless such person (a) agrees to sell such person’s securities on the basis provided in any underwriting arrangements in form, scope and substance customary for such offerings and approved by PubCo and such person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78" w:lineRule="exact"/>
        <w:rPr>
          <w:sz w:val="20"/>
          <w:szCs w:val="20"/>
          <w:color w:val="auto"/>
        </w:rPr>
      </w:pPr>
    </w:p>
    <w:p>
      <w:pPr>
        <w:jc w:val="both"/>
        <w:ind w:left="300" w:right="299" w:firstLine="648"/>
        <w:spacing w:after="0" w:line="232" w:lineRule="auto"/>
        <w:rPr>
          <w:sz w:val="20"/>
          <w:szCs w:val="20"/>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22"/>
          <w:szCs w:val="22"/>
          <w:b w:val="1"/>
          <w:bCs w:val="1"/>
          <w:color w:val="auto"/>
        </w:rPr>
        <w:t>Suspension of Sales; Adverse Disclosure</w:t>
      </w:r>
      <w:r>
        <w:rPr>
          <w:rFonts w:ascii="Times New Roman" w:cs="Times New Roman" w:eastAsia="Times New Roman" w:hAnsi="Times New Roman"/>
          <w:sz w:val="22"/>
          <w:szCs w:val="22"/>
          <w:color w:val="auto"/>
        </w:rPr>
        <w:t xml:space="preserve">. Upon receipt of written notice from PubCo that a Registration Statement or Prospectus contains a Misstatement, each Holder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 If the filing, initial effectiveness or continued use of a Registration Statement in respect of any Registration at any time would require PubCo to make an Adverse Disclosure or would require the inclusion in such Registration Statement of financial statements that are unavailable to PubCo for reasons beyond PubCo’s control, PubCo may, upon giving prompt written notice of such action to Holders, delay the filing or initial effectiveness of, or suspend use of, such Registration Statement for the shortest period of time, but in no event more than sixty (60) calendar days, determined in good faith by PubCo to be necessary for such purpose. In the event PubCo exercises its rights under the preceding sentence, Holders agree to suspend, immediately upon their receipt of the notice referred to above, their use of the Prospectus relating to any Registration in connection with any sale or offer to sell Registrable Securities. PubCo shall immediately notify Holders of the expiration of any period during which it exercised its rights under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If so directed by PubCo, Holders will deliver to PubCo or, in Holders’ sole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1" w:name="page82"/>
    <w:bookmarkEnd w:id="81"/>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 xml:space="preserve">discretion, destroy, all copies of each Prospectus for which Holders have suspended use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covering Registrable Securities in Holders’ possession;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obligation to deliver or destroy shall not apply (i) to the extent Holders are required to retain a copy of such Prospectus (a) to comply with applicable legal, regulatory, self-regulatory or professional requirements or (b) in accordance with a bona fide pre-existing document retention policy or (ii) to copies stored electronically on archival servers as a result of automatic data back-up. Notwithstanding anything to the contrary set forth herein, PubCo shall not provide any Holder with any material, nonpublic information regarding PubCo without the Holder’s consent, other than to the extent that providing notice under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to such Holder constitutes material, nonpublic information regarding PubCo.</w:t>
      </w:r>
    </w:p>
    <w:p>
      <w:pPr>
        <w:spacing w:after="0" w:line="175"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3.5</w:t>
      </w:r>
      <w:r>
        <w:rPr>
          <w:rFonts w:ascii="Times New Roman" w:cs="Times New Roman" w:eastAsia="Times New Roman" w:hAnsi="Times New Roman"/>
          <w:sz w:val="22"/>
          <w:szCs w:val="22"/>
          <w:b w:val="1"/>
          <w:bCs w:val="1"/>
          <w:color w:val="auto"/>
        </w:rPr>
        <w:t>Reporting Obligations</w:t>
      </w:r>
      <w:r>
        <w:rPr>
          <w:rFonts w:ascii="Times New Roman" w:cs="Times New Roman" w:eastAsia="Times New Roman" w:hAnsi="Times New Roman"/>
          <w:sz w:val="22"/>
          <w:szCs w:val="22"/>
          <w:color w:val="auto"/>
        </w:rPr>
        <w:t>. As long as any Holder owns Registrable Securities, PubCo, at all times while it shall be a reporting company under the Exchange Act, covenants to file timely (or obtain extensions in respect thereof and file within the applicable grace period) all reports required to be filed by PubCo after the date hereof pursuant to Sections 13(a) or 15(d) of the Exchange Act and to promptly furnish Holders with true and complete copies of all such filings. PubCo further covenants that it shall take such further action as any Holder may reasonably request, all to the extent required from time to time to enable such Holder to sell PubCo Ordinary Shares held by such Holder without registration under the Securities Act within the limitation of the exemptions provided by Rule 144 promulgated under the Securities Act (or any successor rule promulgated thereafter by the Commission to the extent such rule or such successor rule is available to PubCo), including providing any legal opinions. Upon the request of any Holder, PubCo shall deliver to such Holder a written certification of a duly authorized officer as to whether it has complied with such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-26670</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2"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3.6</w:t>
      </w:r>
      <w:r>
        <w:rPr>
          <w:rFonts w:ascii="Times New Roman" w:cs="Times New Roman" w:eastAsia="Times New Roman" w:hAnsi="Times New Roman"/>
          <w:sz w:val="22"/>
          <w:szCs w:val="22"/>
          <w:b w:val="1"/>
          <w:bCs w:val="1"/>
          <w:color w:val="auto"/>
        </w:rPr>
        <w:t>Limitations on Registration Rights</w:t>
      </w:r>
      <w:r>
        <w:rPr>
          <w:rFonts w:ascii="Times New Roman" w:cs="Times New Roman" w:eastAsia="Times New Roman" w:hAnsi="Times New Roman"/>
          <w:sz w:val="22"/>
          <w:szCs w:val="22"/>
          <w:color w:val="auto"/>
        </w:rPr>
        <w:t xml:space="preserve">. Notwithstanding anything herein to the contrary, (a) Sponsor may not exercise its rights solely in respect of the Private Placement Shares under </w:t>
      </w:r>
      <w:r>
        <w:rPr>
          <w:rFonts w:ascii="Times New Roman" w:cs="Times New Roman" w:eastAsia="Times New Roman" w:hAnsi="Times New Roman"/>
          <w:sz w:val="22"/>
          <w:szCs w:val="22"/>
          <w:u w:val="single" w:color="auto"/>
          <w:color w:val="auto"/>
        </w:rPr>
        <w:t>Sections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hereunder after June 25, 2030 and June 25, 2032 respectively and (b) Sponsor may not exercise its rights solely in respect of the Private Placement Shares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more than one time.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AND CONTRIBUTION</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b w:val="1"/>
          <w:bCs w:val="1"/>
          <w:color w:val="auto"/>
        </w:rPr>
        <w:t>Indemnification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00" w:right="299" w:firstLine="1296"/>
        <w:spacing w:after="0" w:line="233" w:lineRule="auto"/>
        <w:rPr>
          <w:sz w:val="20"/>
          <w:szCs w:val="20"/>
          <w:color w:val="auto"/>
        </w:rPr>
      </w:pPr>
      <w:r>
        <w:rPr>
          <w:rFonts w:ascii="Times New Roman" w:cs="Times New Roman" w:eastAsia="Times New Roman" w:hAnsi="Times New Roman"/>
          <w:sz w:val="22"/>
          <w:szCs w:val="22"/>
          <w:color w:val="auto"/>
        </w:rPr>
        <w:t>4.1.1.In connection with any Registration Statement in which a Holder of Registrable Securities is participating, PubCo agrees to indemnify, to the extent permitted by law, each Holder of Registrable Securities, its affiliates, officers and directors and each person who controls such Holder (within the meaning of the Securities Act) (collectively, the “</w:t>
      </w:r>
      <w:r>
        <w:rPr>
          <w:rFonts w:ascii="Times New Roman" w:cs="Times New Roman" w:eastAsia="Times New Roman" w:hAnsi="Times New Roman"/>
          <w:sz w:val="22"/>
          <w:szCs w:val="22"/>
          <w:b w:val="1"/>
          <w:bCs w:val="1"/>
          <w:i w:val="1"/>
          <w:iCs w:val="1"/>
          <w:color w:val="auto"/>
        </w:rPr>
        <w:t>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Indemnified Persons</w:t>
      </w:r>
      <w:r>
        <w:rPr>
          <w:rFonts w:ascii="Times New Roman" w:cs="Times New Roman" w:eastAsia="Times New Roman" w:hAnsi="Times New Roman"/>
          <w:sz w:val="22"/>
          <w:szCs w:val="22"/>
          <w:color w:val="auto"/>
        </w:rPr>
        <w:t>”) against all losses, claims, damages, liabilities and expenses (including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reasonable and documented attorneys’ fees) resulting from any Misstatement or alleged Misstatement, except insofar as the same are caused by or contained in any information furnished in writing to PubCo by such Holder Indemnified Person expressly for use therein. Notwithstanding the foregoing, the indemnity agreement contained in this </w:t>
      </w:r>
      <w:r>
        <w:rPr>
          <w:rFonts w:ascii="Times New Roman" w:cs="Times New Roman" w:eastAsia="Times New Roman" w:hAnsi="Times New Roman"/>
          <w:sz w:val="22"/>
          <w:szCs w:val="22"/>
          <w:u w:val="single" w:color="auto"/>
          <w:color w:val="auto"/>
        </w:rPr>
        <w:t>section 4.1.1</w:t>
      </w:r>
      <w:r>
        <w:rPr>
          <w:rFonts w:ascii="Times New Roman" w:cs="Times New Roman" w:eastAsia="Times New Roman" w:hAnsi="Times New Roman"/>
          <w:sz w:val="22"/>
          <w:szCs w:val="22"/>
          <w:color w:val="auto"/>
        </w:rPr>
        <w:t xml:space="preserve"> shall not apply to amounts paid in settlement of any such claim or proceeding if such settlement is effected without the consent of PubCo, which consent shall not be unreasonably withheld, conditioned or delayed.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2" w:name="page83"/>
    <w:bookmarkEnd w:id="82"/>
    <w:p>
      <w:pPr>
        <w:jc w:val="both"/>
        <w:ind w:left="300" w:right="29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4.1.2.In connection with any Registration Statement in which a Holder of Registrable Securities is participating, such 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outside attorneys’ fees) resulting from any Misstatement or alleged Misstatement, but only to the extent that such untrue statement or omission is contained in any information or affidavit so furnished in writing by such Holder expressly for use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w:t>
      </w:r>
    </w:p>
    <w:p>
      <w:pPr>
        <w:spacing w:after="0" w:line="183" w:lineRule="exact"/>
        <w:rPr>
          <w:sz w:val="20"/>
          <w:szCs w:val="20"/>
          <w:color w:val="auto"/>
        </w:rPr>
      </w:pPr>
    </w:p>
    <w:p>
      <w:pPr>
        <w:jc w:val="both"/>
        <w:ind w:left="300" w:right="299" w:firstLine="1296"/>
        <w:spacing w:after="0" w:line="242" w:lineRule="auto"/>
        <w:rPr>
          <w:sz w:val="20"/>
          <w:szCs w:val="20"/>
          <w:color w:val="auto"/>
        </w:rPr>
      </w:pPr>
      <w:r>
        <w:rPr>
          <w:rFonts w:ascii="Times New Roman" w:cs="Times New Roman" w:eastAsia="Times New Roman" w:hAnsi="Times New Roman"/>
          <w:sz w:val="21"/>
          <w:szCs w:val="21"/>
          <w:color w:val="auto"/>
        </w:rPr>
        <w:t xml:space="preserve">4.1.3.Any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(b) permit such indemnifying party to assume the defense of such claim with counsel reasonably satisfactory to the indemnified party if the indemnifying party provides notice of such to the indemnified party within thirty (30) calendar days of the indemnifying party’s receipt of notice of such claim.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(i) the employment of counsel by the indemnified party has been authorized in writing by the indemnifying party, (ii) the indemnified party has reasonably concluded (based on advice of counsel) that there may be legal defenses available to it or other indemnified parties that are different from or in addition to those available to the indemnifying party, (iii)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(iv)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(plus local counsel) at any one time for all such indemnified party or parties. If such defense is assumed, the indemnifying party shall not be subject to any liability for any settlement made by the indemnified party without its consent (but such consent shall not be unreasonably withheld). No indemnifying party shall, without the consent of the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(whether or not any indemnified party is a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3" w:name="page84"/>
    <w:bookmarkEnd w:id="83"/>
    <w:p>
      <w:pPr>
        <w:jc w:val="both"/>
        <w:ind w:left="300" w:right="299"/>
        <w:spacing w:after="0" w:line="238" w:lineRule="auto"/>
        <w:rPr>
          <w:sz w:val="20"/>
          <w:szCs w:val="20"/>
          <w:color w:val="auto"/>
        </w:rPr>
      </w:pPr>
      <w:r>
        <w:rPr>
          <w:rFonts w:ascii="Times New Roman" w:cs="Times New Roman" w:eastAsia="Times New Roman" w:hAnsi="Times New Roman"/>
          <w:sz w:val="22"/>
          <w:szCs w:val="22"/>
          <w:color w:val="auto"/>
        </w:rPr>
        <w:t>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77" w:lineRule="exact"/>
        <w:rPr>
          <w:sz w:val="20"/>
          <w:szCs w:val="20"/>
          <w:color w:val="auto"/>
        </w:rPr>
      </w:pPr>
    </w:p>
    <w:p>
      <w:pPr>
        <w:jc w:val="both"/>
        <w:ind w:left="300" w:right="299" w:firstLine="1296"/>
        <w:spacing w:after="0" w:line="235" w:lineRule="auto"/>
        <w:rPr>
          <w:sz w:val="20"/>
          <w:szCs w:val="20"/>
          <w:color w:val="auto"/>
        </w:rPr>
      </w:pPr>
      <w:r>
        <w:rPr>
          <w:rFonts w:ascii="Times New Roman" w:cs="Times New Roman" w:eastAsia="Times New Roman" w:hAnsi="Times New Roman"/>
          <w:sz w:val="22"/>
          <w:szCs w:val="22"/>
          <w:color w:val="auto"/>
        </w:rPr>
        <w:t>4.1.4.The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Holder of Registrable Securities participating in an offering also agrees to make such provisions as are reasonably requested by any indemnified party for contribution to such party in the event the PubCo’s or such Holder’s indemnification is unavailable for any reason.</w:t>
      </w:r>
    </w:p>
    <w:p>
      <w:pPr>
        <w:spacing w:after="0" w:line="183" w:lineRule="exact"/>
        <w:rPr>
          <w:sz w:val="20"/>
          <w:szCs w:val="20"/>
          <w:color w:val="auto"/>
        </w:rPr>
      </w:pPr>
    </w:p>
    <w:p>
      <w:pPr>
        <w:jc w:val="both"/>
        <w:ind w:left="300" w:right="29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4.1.5.If the indemnification provided under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hereof is held by a court of competent jurisdiction to be unavailable or insufficient to hold harmless an indemnified party in respect of any losses, claims, damages, liabilities and expenses referred to herein, then the indemnifying party, in lieu of indemnifying the indemnified party, shall to the extent permitted by law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liability of any Holder under this </w:t>
      </w:r>
      <w:r>
        <w:rPr>
          <w:rFonts w:ascii="Times New Roman" w:cs="Times New Roman" w:eastAsia="Times New Roman" w:hAnsi="Times New Roman"/>
          <w:sz w:val="21"/>
          <w:szCs w:val="21"/>
          <w:u w:val="single" w:color="auto"/>
          <w:color w:val="auto"/>
        </w:rPr>
        <w:t>subsection 4.1.5</w:t>
      </w:r>
      <w:r>
        <w:rPr>
          <w:rFonts w:ascii="Times New Roman" w:cs="Times New Roman" w:eastAsia="Times New Roman" w:hAnsi="Times New Roman"/>
          <w:sz w:val="21"/>
          <w:szCs w:val="21"/>
          <w:color w:val="auto"/>
        </w:rPr>
        <w:t xml:space="preserve"> shall be limited to the amount of the net proceeds received by such Holder in such offering giving rise to such liability except in the case of fraud or wilful misconduct by such Holder.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21"/>
          <w:szCs w:val="21"/>
          <w:u w:val="single" w:color="auto"/>
          <w:color w:val="auto"/>
        </w:rPr>
        <w:t>subsections 4.1.1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4.1.3</w:t>
      </w:r>
      <w:r>
        <w:rPr>
          <w:rFonts w:ascii="Times New Roman" w:cs="Times New Roman" w:eastAsia="Times New Roman" w:hAnsi="Times New Roman"/>
          <w:sz w:val="21"/>
          <w:szCs w:val="21"/>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21"/>
          <w:szCs w:val="21"/>
          <w:u w:val="single" w:color="auto"/>
          <w:color w:val="auto"/>
        </w:rPr>
        <w:t>subsection 4.1.5</w:t>
      </w:r>
      <w:r>
        <w:rPr>
          <w:rFonts w:ascii="Times New Roman" w:cs="Times New Roman" w:eastAsia="Times New Roman" w:hAnsi="Times New Roman"/>
          <w:sz w:val="21"/>
          <w:szCs w:val="21"/>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1"/>
          <w:szCs w:val="21"/>
          <w:u w:val="single" w:color="auto"/>
          <w:color w:val="auto"/>
        </w:rPr>
        <w:t>subsection 4.1.5</w:t>
      </w:r>
      <w:r>
        <w:rPr>
          <w:rFonts w:ascii="Times New Roman" w:cs="Times New Roman" w:eastAsia="Times New Roman" w:hAnsi="Times New Roman"/>
          <w:sz w:val="21"/>
          <w:szCs w:val="21"/>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21"/>
          <w:szCs w:val="21"/>
          <w:u w:val="single" w:color="auto"/>
          <w:color w:val="auto"/>
        </w:rPr>
        <w:t>subsection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4.1.5</w:t>
      </w:r>
      <w:r>
        <w:rPr>
          <w:rFonts w:ascii="Times New Roman" w:cs="Times New Roman" w:eastAsia="Times New Roman" w:hAnsi="Times New Roman"/>
          <w:sz w:val="21"/>
          <w:szCs w:val="21"/>
          <w:color w:val="auto"/>
        </w:rPr>
        <w:t xml:space="preserve"> from any person who was not guilty of such fraudulent misrepresentation.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left="300" w:right="299" w:firstLine="648"/>
        <w:spacing w:after="0" w:line="232"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or communication under this Agreement must be in writing and given by (a) deposit in the United States mail, addressed to the party to be notified, postage prepaid and registered or certified with return receipt requested, (b) delivery in person or by courier service providing evidence of delivery, or (c)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PubCo, to: c/o AIR Limited Festival Office Tower Dubai, PO Box 117613 United Arab Emirates, attention: xxxxxxxxxxxxxxxxxxxxxxxxxxxxxxxxxxx, with a copy (which will not constitute notice) to: Latham &amp; Watkins (London) LLP, 99 Bishopsgate, London, EC2M 3XF, United Kingdom Attention: xxxxxxxxxxxxxxxxxxxxxxxxx; and, if to any Holder, at such Holder’s address or contact information as set forth in PubCo’s books and records. Any party may change its address for notice at any time and from time to time by written notice to the other parties hereto, and such change of address shall become effective thirty (30) calendar days after delivery of such notice as provided in this Section 5.1.</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b w:val="1"/>
          <w:bCs w:val="1"/>
          <w:color w:val="auto"/>
        </w:rPr>
        <w:t>Assignment; No Third-Party Beneficiaries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300" w:right="299" w:firstLine="1296"/>
        <w:spacing w:after="0" w:line="258" w:lineRule="auto"/>
        <w:rPr>
          <w:sz w:val="20"/>
          <w:szCs w:val="20"/>
          <w:color w:val="auto"/>
        </w:rPr>
      </w:pPr>
      <w:r>
        <w:rPr>
          <w:rFonts w:ascii="Times New Roman" w:cs="Times New Roman" w:eastAsia="Times New Roman" w:hAnsi="Times New Roman"/>
          <w:sz w:val="22"/>
          <w:szCs w:val="22"/>
          <w:color w:val="auto"/>
        </w:rPr>
        <w:t>5.2.1.This Agreement and the rights, duties and obligations of PubCo hereunder may not be assigned or delegated by PubCo in whole or in part.</w:t>
      </w:r>
    </w:p>
    <w:p>
      <w:pPr>
        <w:spacing w:after="0" w:line="158"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5.2.2.Prior to the expiration of the applicable Lock-Up Period,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77" w:lineRule="exact"/>
        <w:rPr>
          <w:sz w:val="20"/>
          <w:szCs w:val="20"/>
          <w:color w:val="auto"/>
        </w:rPr>
      </w:pPr>
    </w:p>
    <w:p>
      <w:pPr>
        <w:jc w:val="both"/>
        <w:ind w:left="300" w:right="319" w:firstLine="1296"/>
        <w:spacing w:after="0" w:line="244" w:lineRule="auto"/>
        <w:rPr>
          <w:sz w:val="20"/>
          <w:szCs w:val="20"/>
          <w:color w:val="auto"/>
        </w:rPr>
      </w:pPr>
      <w:r>
        <w:rPr>
          <w:rFonts w:ascii="Times New Roman" w:cs="Times New Roman" w:eastAsia="Times New Roman" w:hAnsi="Times New Roman"/>
          <w:sz w:val="22"/>
          <w:szCs w:val="22"/>
          <w:color w:val="auto"/>
        </w:rPr>
        <w:t>5.2.3.This Agreement and the provisions hereof shall be binding upon and shall inure to the benefit of each of the parties and its successors and the permitted assigns of Sponsor, which shall include Permitted Transferees.</w:t>
      </w:r>
    </w:p>
    <w:p>
      <w:pPr>
        <w:spacing w:after="0" w:line="173"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2"/>
          <w:szCs w:val="22"/>
          <w:color w:val="auto"/>
        </w:rPr>
        <w:t xml:space="preserve">5.2.4.This Agreement shall not confer any rights or benefits on any persons that are not parties hereto, other than as expressly set forth in this Agreement, including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hereof.</w:t>
      </w:r>
    </w:p>
    <w:p>
      <w:pPr>
        <w:spacing w:after="0" w:line="173" w:lineRule="exact"/>
        <w:rPr>
          <w:sz w:val="20"/>
          <w:szCs w:val="20"/>
          <w:color w:val="auto"/>
        </w:rPr>
      </w:pPr>
    </w:p>
    <w:p>
      <w:pPr>
        <w:jc w:val="both"/>
        <w:ind w:left="300" w:right="29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5.2.5.No assignment by any party hereto of such party’s rights, duties and obligations hereunder shall be binding upon or obligate PubCo unless and until PubCo shall have received (a) written notice of such assignment as provided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hereof and (b) the written agreement of the assignee, in a form reasonably satisfactory to PubCo, to be bound by the terms and provisions of this Agreement (which may be accomplished by an addendum or certificate of</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85" w:name="page86"/>
    <w:bookmarkEnd w:id="85"/>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 xml:space="preserve">joinder to this Agreement). Any transfer or assignment made other than as provided in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shall be null and void.</w:t>
      </w:r>
    </w:p>
    <w:p>
      <w:pPr>
        <w:spacing w:after="0" w:line="15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and delivered (including by facsimile, email or other electronic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72"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1"/>
          <w:szCs w:val="21"/>
          <w:color w:val="auto"/>
        </w:rPr>
        <w:t>5.4</w:t>
      </w:r>
      <w:r>
        <w:rPr>
          <w:rFonts w:ascii="Times New Roman" w:cs="Times New Roman" w:eastAsia="Times New Roman" w:hAnsi="Times New Roman"/>
          <w:sz w:val="21"/>
          <w:szCs w:val="21"/>
          <w:b w:val="1"/>
          <w:bCs w:val="1"/>
          <w:color w:val="auto"/>
        </w:rPr>
        <w:t>Governing Law; Jurisdiction</w:t>
      </w:r>
      <w:r>
        <w:rPr>
          <w:rFonts w:ascii="Times New Roman" w:cs="Times New Roman" w:eastAsia="Times New Roman" w:hAnsi="Times New Roman"/>
          <w:sz w:val="21"/>
          <w:szCs w:val="21"/>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THIS AGREEMENT SHALL BE ANY STATE OR FEDERAL COURT IN NEW YORK COUNTY IN THE STATE OF NEW YORK.</w:t>
      </w:r>
    </w:p>
    <w:p>
      <w:pPr>
        <w:spacing w:after="0" w:line="16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1"/>
          <w:szCs w:val="21"/>
          <w:color w:val="auto"/>
        </w:rPr>
        <w:t>5.5</w:t>
      </w:r>
      <w:r>
        <w:rPr>
          <w:rFonts w:ascii="Times New Roman" w:cs="Times New Roman" w:eastAsia="Times New Roman" w:hAnsi="Times New Roman"/>
          <w:sz w:val="21"/>
          <w:szCs w:val="21"/>
          <w:b w:val="1"/>
          <w:bCs w:val="1"/>
          <w:color w:val="auto"/>
        </w:rPr>
        <w:t>Waiver of Jury Trial</w:t>
      </w:r>
      <w:r>
        <w:rPr>
          <w:rFonts w:ascii="Times New Roman" w:cs="Times New Roman" w:eastAsia="Times New Roman" w:hAnsi="Times New Roman"/>
          <w:sz w:val="21"/>
          <w:szCs w:val="21"/>
          <w:color w:val="auto"/>
        </w:rPr>
        <w:t xml:space="preserve">.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 EACH PARTY HERETO (A) CERTIFIES THAT NO REPRESENTATIVE, AGENT OR ATTORNEY OF ANY OTHER PARTY HERETO HAS REPRESENTED, EXPRESSLY OR OTHERWISE, THAT SUCH OTHER PARTY WOULD NOT, IN THE EVENT OF LITIGATION, SEEK TO ENFORCE THAT FOREGOING WAIVER AND (B) ACKNOWLEDGES THAT IT AND THE OTHERS HERETO HAVE BEEN INDUCED TO ENTER INTO THIS AGREEMENT BY, AMONG OTHER THINGS, THE MUTUAL WAIVERS AND CERTIFICATIONS IN THIS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4"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5.6</w:t>
      </w:r>
      <w:r>
        <w:rPr>
          <w:rFonts w:ascii="Times New Roman" w:cs="Times New Roman" w:eastAsia="Times New Roman" w:hAnsi="Times New Roman"/>
          <w:sz w:val="22"/>
          <w:szCs w:val="22"/>
          <w:b w:val="1"/>
          <w:bCs w:val="1"/>
          <w:color w:val="auto"/>
        </w:rPr>
        <w:t>Amendments and Modifications</w:t>
      </w:r>
      <w:r>
        <w:rPr>
          <w:rFonts w:ascii="Times New Roman" w:cs="Times New Roman" w:eastAsia="Times New Roman" w:hAnsi="Times New Roman"/>
          <w:sz w:val="22"/>
          <w:szCs w:val="22"/>
          <w:color w:val="auto"/>
        </w:rPr>
        <w:t xml:space="preserve">. Upon the written consent of PubCo and Holders of at least a majority in interest of the Registrable Securities held by all Holders at the time in question,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notwithstanding the foregoing, any amendment hereto or waiver hereof that adversely affects the Sponsor Holders as a group shall require the consent of at least a majority-in-interest of the Registrable Securities held by such Sponsor Holders at the time in question so affected;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the foregoing, any amendment hereto or waiver hereof that adversely affects one Holder or group of affiliated Holders, solely in its capacity as a shareholder of PubCo, in a manner that is materially different from the other Holders (in such capacity) shall require the consent of the Holder or group of affiliated Holders so affected. No course of dealing between any Holder or PubCo and any other party hereto or any failure or delay on the part of a Holder or PubCo in exercising any rights or remedies under this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6" w:name="page87"/>
    <w:bookmarkEnd w:id="86"/>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 xml:space="preserve">Agreement shall operate as a waiver of any rights or remedies of any Holder or PubCo. No single or partial exercise of any rights or remedies under this Agreement by a party shall operate as a waiver or preclude the exercise of any other rights or remedies hereunder or thereunder by such party. Any amendment, termination, or waiver effected in accordance with this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shall be binding on each party hereto and all of such party’s successors and permitted assigns, regardless of whether or not any such party, successor or assignee entered into or approved such amendment, termination, or waiver.</w:t>
      </w:r>
    </w:p>
    <w:p>
      <w:pPr>
        <w:spacing w:after="0" w:line="179" w:lineRule="exact"/>
        <w:rPr>
          <w:sz w:val="20"/>
          <w:szCs w:val="20"/>
          <w:color w:val="auto"/>
        </w:rPr>
      </w:pPr>
    </w:p>
    <w:p>
      <w:pPr>
        <w:jc w:val="both"/>
        <w:ind w:left="300" w:right="299" w:firstLine="648"/>
        <w:spacing w:after="0" w:line="248" w:lineRule="auto"/>
        <w:rPr>
          <w:sz w:val="20"/>
          <w:szCs w:val="20"/>
          <w:color w:val="auto"/>
        </w:rPr>
      </w:pPr>
      <w:r>
        <w:rPr>
          <w:rFonts w:ascii="Times New Roman" w:cs="Times New Roman" w:eastAsia="Times New Roman" w:hAnsi="Times New Roman"/>
          <w:sz w:val="21"/>
          <w:szCs w:val="21"/>
          <w:color w:val="auto"/>
        </w:rPr>
        <w:t>5.7</w:t>
      </w:r>
      <w:r>
        <w:rPr>
          <w:rFonts w:ascii="Times New Roman" w:cs="Times New Roman" w:eastAsia="Times New Roman" w:hAnsi="Times New Roman"/>
          <w:sz w:val="21"/>
          <w:szCs w:val="21"/>
          <w:b w:val="1"/>
          <w:bCs w:val="1"/>
          <w:color w:val="auto"/>
        </w:rPr>
        <w:t>Other Registration Rights</w:t>
      </w:r>
      <w:r>
        <w:rPr>
          <w:rFonts w:ascii="Times New Roman" w:cs="Times New Roman" w:eastAsia="Times New Roman" w:hAnsi="Times New Roman"/>
          <w:sz w:val="21"/>
          <w:szCs w:val="21"/>
          <w:color w:val="auto"/>
        </w:rPr>
        <w:t>. PubCo represents and warrants that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0"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5.8</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constitutes the entire agreement among the parties hereto with respect to the subject matter hereof and supersedes all prior contracts or agreements with respect to the subject matter hereof and the matters addressed or governed hereby, whether oral or written, including, without limitation, the Original Registration Rights Agreement.</w:t>
      </w:r>
    </w:p>
    <w:p>
      <w:pPr>
        <w:spacing w:after="0" w:line="177" w:lineRule="exact"/>
        <w:rPr>
          <w:sz w:val="20"/>
          <w:szCs w:val="20"/>
          <w:color w:val="auto"/>
        </w:rPr>
      </w:pPr>
    </w:p>
    <w:p>
      <w:pPr>
        <w:jc w:val="both"/>
        <w:ind w:left="300" w:right="299" w:firstLine="648"/>
        <w:spacing w:after="0" w:line="237" w:lineRule="auto"/>
        <w:rPr>
          <w:sz w:val="20"/>
          <w:szCs w:val="20"/>
          <w:color w:val="auto"/>
        </w:rPr>
      </w:pPr>
      <w:r>
        <w:rPr>
          <w:rFonts w:ascii="Times New Roman" w:cs="Times New Roman" w:eastAsia="Times New Roman" w:hAnsi="Times New Roman"/>
          <w:sz w:val="22"/>
          <w:szCs w:val="22"/>
          <w:color w:val="auto"/>
        </w:rPr>
        <w:t>5.9</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shall terminate upon the earlier of (a) the tenth anniversary of the date of this Agreement or (b) the date as of which (i) all of the Registrable Securities have been sold pursuant to a Registration Statement (but in no event prior to the applicable period referred to in Section 4(a)(3) of the Securities Act and Rule 174 thereunder (or any successor rule promulgated thereafter by the Commission)) or (ii) with respect to any Holder, such Holder ceasing to hold Registrable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478155</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87" w:name="page88"/>
    <w:bookmarkEnd w:id="87"/>
    <w:p>
      <w:pPr>
        <w:ind w:left="1320" w:right="13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caused this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Rights Agreement to be executed as of the date first written above.</w:t>
      </w:r>
    </w:p>
    <w:p>
      <w:pPr>
        <w:spacing w:after="0" w:line="3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PUBCO:</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AIR GLOBAL PLC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By:</w:t>
            </w:r>
          </w:p>
        </w:tc>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Stuart Brazier</w:t>
            </w:r>
          </w:p>
        </w:tc>
      </w:tr>
      <w:tr>
        <w:trPr>
          <w:trHeight w:val="209"/>
        </w:trPr>
        <w:tc>
          <w:tcPr>
            <w:tcW w:w="2160" w:type="dxa"/>
            <w:vAlign w:val="bottom"/>
          </w:tcPr>
          <w:p>
            <w:pPr>
              <w:ind w:left="13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Stuart Brazier</w:t>
            </w:r>
          </w:p>
        </w:tc>
        <w:tc>
          <w:tcPr>
            <w:tcW w:w="5520" w:type="dxa"/>
            <w:vAlign w:val="bottom"/>
          </w:tcPr>
          <w:p>
            <w:pPr>
              <w:spacing w:after="0"/>
              <w:rPr>
                <w:sz w:val="18"/>
                <w:szCs w:val="18"/>
                <w:color w:val="auto"/>
              </w:rPr>
            </w:pPr>
          </w:p>
        </w:tc>
      </w:tr>
      <w:tr>
        <w:trPr>
          <w:trHeight w:val="282"/>
        </w:trPr>
        <w:tc>
          <w:tcPr>
            <w:tcW w:w="216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Title:</w:t>
            </w:r>
          </w:p>
        </w:tc>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r>
        <w:trPr>
          <w:trHeight w:val="864"/>
        </w:trPr>
        <w:tc>
          <w:tcPr>
            <w:tcW w:w="2160" w:type="dxa"/>
            <w:vAlign w:val="bottom"/>
          </w:tcPr>
          <w:p>
            <w:pPr>
              <w:spacing w:after="0"/>
              <w:rPr>
                <w:sz w:val="24"/>
                <w:szCs w:val="24"/>
                <w:color w:val="auto"/>
              </w:rPr>
            </w:pPr>
          </w:p>
        </w:tc>
        <w:tc>
          <w:tcPr>
            <w:tcW w:w="88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Amended and Restated Registration Rights Agreement</w:t>
            </w:r>
            <w:r>
              <w:rPr>
                <w:rFonts w:ascii="Times New Roman" w:cs="Times New Roman" w:eastAsia="Times New Roman" w:hAnsi="Times New Roman"/>
                <w:sz w:val="22"/>
                <w:szCs w:val="22"/>
                <w:color w:val="auto"/>
              </w:rPr>
              <w:t>]</w:t>
            </w:r>
          </w:p>
        </w:tc>
      </w:tr>
      <w:tr>
        <w:trPr>
          <w:trHeight w:val="751"/>
        </w:trPr>
        <w:tc>
          <w:tcPr>
            <w:tcW w:w="21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4" w:right="439" w:bottom="1440" w:gutter="0" w:footer="0" w:header="0"/>
        </w:sectPr>
      </w:pPr>
    </w:p>
    <w:bookmarkStart w:id="88" w:name="page89"/>
    <w:bookmarkEnd w:id="88"/>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SPECIFIED HOLDERS:</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KINGSWAY FUND – FRONTIER</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CONSUMER FRANCHISES</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Jones</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William Jones</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KINGSWAY FCF OVERFLOW SPC –</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SEGREGATED PORTFOLIO ONE</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Laren Gillespie</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Laren Gillespie</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KINGSWAY FCF OVERFLOW SPC –</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SEGREGATED PORTFOLIO TWO</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Laren Gillespie</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Laren Gillespie</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KINGSWAY FCF OVERFLOW SPC –</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SEGREGATED PORTFOLIO FIVE</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Laren Gillespie</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Laren Gillespie</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KINGSWAY FCF OVERFLOW SPC –</w:t>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SEGREGATED PORTFOLIO SIX</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By:</w:t>
            </w: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Laren Gillespie</w:t>
            </w:r>
          </w:p>
        </w:tc>
      </w:tr>
      <w:tr>
        <w:trPr>
          <w:trHeight w:val="209"/>
        </w:trPr>
        <w:tc>
          <w:tcPr>
            <w:tcW w:w="1980" w:type="dxa"/>
            <w:vAlign w:val="bottom"/>
          </w:tcPr>
          <w:p>
            <w:pPr>
              <w:ind w:left="13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Laren Gillespie</w:t>
            </w:r>
          </w:p>
        </w:tc>
        <w:tc>
          <w:tcPr>
            <w:tcW w:w="5520" w:type="dxa"/>
            <w:vAlign w:val="bottom"/>
          </w:tcPr>
          <w:p>
            <w:pPr>
              <w:spacing w:after="0"/>
              <w:rPr>
                <w:sz w:val="18"/>
                <w:szCs w:val="18"/>
                <w:color w:val="auto"/>
              </w:rPr>
            </w:pPr>
          </w:p>
        </w:tc>
      </w:tr>
      <w:tr>
        <w:trPr>
          <w:trHeight w:val="282"/>
        </w:trPr>
        <w:tc>
          <w:tcPr>
            <w:tcW w:w="198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Title:</w:t>
            </w: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864"/>
        </w:trPr>
        <w:tc>
          <w:tcPr>
            <w:tcW w:w="1980" w:type="dxa"/>
            <w:vAlign w:val="bottom"/>
          </w:tcPr>
          <w:p>
            <w:pPr>
              <w:spacing w:after="0"/>
              <w:rPr>
                <w:sz w:val="24"/>
                <w:szCs w:val="24"/>
                <w:color w:val="auto"/>
              </w:rPr>
            </w:pPr>
          </w:p>
        </w:tc>
        <w:tc>
          <w:tcPr>
            <w:tcW w:w="90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Amended and Restated Registration Rights Agreement</w:t>
            </w:r>
            <w:r>
              <w:rPr>
                <w:rFonts w:ascii="Times New Roman" w:cs="Times New Roman" w:eastAsia="Times New Roman" w:hAnsi="Times New Roman"/>
                <w:sz w:val="22"/>
                <w:szCs w:val="22"/>
                <w:color w:val="auto"/>
              </w:rPr>
              <w:t>]</w:t>
            </w:r>
          </w:p>
        </w:tc>
      </w:tr>
      <w:tr>
        <w:trPr>
          <w:trHeight w:val="751"/>
        </w:trPr>
        <w:tc>
          <w:tcPr>
            <w:tcW w:w="19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89" w:name="page90"/>
    <w:bookmarkEnd w:id="89"/>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STUART BRAZIER</w:t>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 Stuart Brazier</w:t>
      </w:r>
    </w:p>
    <w:p>
      <w:pPr>
        <w:ind w:left="300"/>
        <w:spacing w:after="0" w:line="230" w:lineRule="auto"/>
        <w:rPr>
          <w:sz w:val="20"/>
          <w:szCs w:val="20"/>
          <w:color w:val="auto"/>
        </w:rPr>
      </w:pPr>
      <w:r>
        <w:rPr>
          <w:rFonts w:ascii="Times New Roman" w:cs="Times New Roman" w:eastAsia="Times New Roman" w:hAnsi="Times New Roman"/>
          <w:sz w:val="22"/>
          <w:szCs w:val="22"/>
          <w:b w:val="1"/>
          <w:bCs w:val="1"/>
          <w:color w:val="auto"/>
        </w:rPr>
        <w:t>BASSEM LOTFY</w:t>
      </w:r>
    </w:p>
    <w:p>
      <w:pPr>
        <w:ind w:left="300"/>
        <w:spacing w:after="0" w:line="231" w:lineRule="auto"/>
        <w:rPr>
          <w:sz w:val="20"/>
          <w:szCs w:val="20"/>
          <w:color w:val="auto"/>
        </w:rPr>
      </w:pPr>
      <w:r>
        <w:rPr>
          <w:rFonts w:ascii="Times New Roman" w:cs="Times New Roman" w:eastAsia="Times New Roman" w:hAnsi="Times New Roman"/>
          <w:sz w:val="22"/>
          <w:szCs w:val="22"/>
          <w:color w:val="auto"/>
        </w:rPr>
        <w:t>/s/ Bassem Lotfy</w:t>
      </w:r>
    </w:p>
    <w:p>
      <w:pPr>
        <w:ind w:left="300"/>
        <w:spacing w:after="0" w:line="230" w:lineRule="auto"/>
        <w:rPr>
          <w:sz w:val="20"/>
          <w:szCs w:val="20"/>
          <w:color w:val="auto"/>
        </w:rPr>
      </w:pPr>
      <w:r>
        <w:rPr>
          <w:rFonts w:ascii="Times New Roman" w:cs="Times New Roman" w:eastAsia="Times New Roman" w:hAnsi="Times New Roman"/>
          <w:sz w:val="22"/>
          <w:szCs w:val="22"/>
          <w:b w:val="1"/>
          <w:bCs w:val="1"/>
          <w:color w:val="auto"/>
        </w:rPr>
        <w:t>RONAN BARRY</w:t>
      </w:r>
    </w:p>
    <w:p>
      <w:pPr>
        <w:ind w:left="300"/>
        <w:spacing w:after="0" w:line="231" w:lineRule="auto"/>
        <w:rPr>
          <w:sz w:val="20"/>
          <w:szCs w:val="20"/>
          <w:color w:val="auto"/>
        </w:rPr>
      </w:pPr>
      <w:r>
        <w:rPr>
          <w:rFonts w:ascii="Times New Roman" w:cs="Times New Roman" w:eastAsia="Times New Roman" w:hAnsi="Times New Roman"/>
          <w:sz w:val="22"/>
          <w:szCs w:val="22"/>
          <w:color w:val="auto"/>
        </w:rPr>
        <w:t>/s/ Ronan Barry</w:t>
      </w:r>
    </w:p>
    <w:p>
      <w:pPr>
        <w:ind w:left="300"/>
        <w:spacing w:after="0" w:line="230" w:lineRule="auto"/>
        <w:rPr>
          <w:sz w:val="20"/>
          <w:szCs w:val="20"/>
          <w:color w:val="auto"/>
        </w:rPr>
      </w:pPr>
      <w:r>
        <w:rPr>
          <w:rFonts w:ascii="Times New Roman" w:cs="Times New Roman" w:eastAsia="Times New Roman" w:hAnsi="Times New Roman"/>
          <w:sz w:val="22"/>
          <w:szCs w:val="22"/>
          <w:b w:val="1"/>
          <w:bCs w:val="1"/>
          <w:color w:val="auto"/>
        </w:rPr>
        <w:t>SHANE GEORGE</w:t>
      </w:r>
    </w:p>
    <w:p>
      <w:pPr>
        <w:ind w:left="300"/>
        <w:spacing w:after="0" w:line="231" w:lineRule="auto"/>
        <w:rPr>
          <w:sz w:val="20"/>
          <w:szCs w:val="20"/>
          <w:color w:val="auto"/>
        </w:rPr>
      </w:pPr>
      <w:r>
        <w:rPr>
          <w:rFonts w:ascii="Times New Roman" w:cs="Times New Roman" w:eastAsia="Times New Roman" w:hAnsi="Times New Roman"/>
          <w:sz w:val="22"/>
          <w:szCs w:val="22"/>
          <w:color w:val="auto"/>
        </w:rPr>
        <w:t>/s/ Shane George</w:t>
      </w:r>
    </w:p>
    <w:p>
      <w:pPr>
        <w:ind w:left="300"/>
        <w:spacing w:after="0" w:line="230" w:lineRule="auto"/>
        <w:rPr>
          <w:sz w:val="20"/>
          <w:szCs w:val="20"/>
          <w:color w:val="auto"/>
        </w:rPr>
      </w:pPr>
      <w:r>
        <w:rPr>
          <w:rFonts w:ascii="Times New Roman" w:cs="Times New Roman" w:eastAsia="Times New Roman" w:hAnsi="Times New Roman"/>
          <w:sz w:val="22"/>
          <w:szCs w:val="22"/>
          <w:b w:val="1"/>
          <w:bCs w:val="1"/>
          <w:color w:val="auto"/>
        </w:rPr>
        <w:t>REINHARD MIECK</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 Reinhard Mieck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Amended and Restated Registration Rights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488315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SPAC:</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CANTOR EQUITY PARTNERS III, INC.</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Lutnick</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Brandon Lutnick</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SPONSOR:</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CANTOR EP HOLDINGS III, LLC</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Brandon Lutnick</w:t>
            </w:r>
          </w:p>
        </w:tc>
      </w:tr>
      <w:tr>
        <w:trPr>
          <w:trHeight w:val="209"/>
        </w:trPr>
        <w:tc>
          <w:tcPr>
            <w:tcW w:w="6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Brandon Lutnick</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Amended and Restated Registration Rights Agreement</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488315</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1174115</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92" w:name="page93"/>
    <w:bookmarkEnd w:id="92"/>
    <w:p>
      <w:pPr>
        <w:ind w:left="7860"/>
        <w:spacing w:after="0"/>
        <w:rPr>
          <w:sz w:val="20"/>
          <w:szCs w:val="20"/>
          <w:color w:val="auto"/>
        </w:rPr>
      </w:pP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b w:val="1"/>
          <w:bCs w:val="1"/>
          <w:color w:val="181818"/>
        </w:rPr>
        <w:t>4.7</w:t>
      </w:r>
    </w:p>
    <w:p>
      <w:pPr>
        <w:spacing w:after="0" w:line="225"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11, 2026</w:t>
      </w:r>
    </w:p>
    <w:p>
      <w:pPr>
        <w:spacing w:after="0" w:line="225" w:lineRule="exact"/>
        <w:rPr>
          <w:sz w:val="20"/>
          <w:szCs w:val="20"/>
          <w:color w:val="auto"/>
        </w:rPr>
      </w:pPr>
    </w:p>
    <w:p>
      <w:pPr>
        <w:jc w:val="both"/>
        <w:ind w:left="1140" w:right="299" w:hanging="839"/>
        <w:spacing w:after="0" w:line="262"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Cantor Equity Partners III, Inc, a Cayman Islands exempted company (“</w:t>
      </w:r>
      <w:r>
        <w:rPr>
          <w:rFonts w:ascii="Times New Roman" w:cs="Times New Roman" w:eastAsia="Times New Roman" w:hAnsi="Times New Roman"/>
          <w:sz w:val="18"/>
          <w:szCs w:val="18"/>
          <w:b w:val="1"/>
          <w:bCs w:val="1"/>
          <w:color w:val="auto"/>
        </w:rPr>
        <w:t>CAEP</w:t>
      </w:r>
      <w:r>
        <w:rPr>
          <w:rFonts w:ascii="Times New Roman" w:cs="Times New Roman" w:eastAsia="Times New Roman" w:hAnsi="Times New Roman"/>
          <w:sz w:val="18"/>
          <w:szCs w:val="18"/>
          <w:color w:val="auto"/>
        </w:rPr>
        <w:t>”); following the Business Combination, AIR Holdings Limited, a private limited company incorporated under the laws of Jersey and to be renamed AIR Global PLC and converted into a public limited company organized under the laws of Jersey (“</w:t>
      </w:r>
      <w:r>
        <w:rPr>
          <w:rFonts w:ascii="Times New Roman" w:cs="Times New Roman" w:eastAsia="Times New Roman" w:hAnsi="Times New Roman"/>
          <w:sz w:val="18"/>
          <w:szCs w:val="18"/>
          <w:b w:val="1"/>
          <w:bCs w:val="1"/>
          <w:color w:val="auto"/>
        </w:rPr>
        <w:t>AIRH</w:t>
      </w:r>
      <w:r>
        <w:rPr>
          <w:rFonts w:ascii="Times New Roman" w:cs="Times New Roman" w:eastAsia="Times New Roman" w:hAnsi="Times New Roman"/>
          <w:sz w:val="18"/>
          <w:szCs w:val="18"/>
          <w:color w:val="auto"/>
        </w:rPr>
        <w:t>” and together with CAEP, the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Harraden Circle Investors, LP (“</w:t>
      </w:r>
      <w:r>
        <w:rPr>
          <w:rFonts w:ascii="Times New Roman" w:cs="Times New Roman" w:eastAsia="Times New Roman" w:hAnsi="Times New Roman"/>
          <w:sz w:val="18"/>
          <w:szCs w:val="18"/>
          <w:b w:val="1"/>
          <w:bCs w:val="1"/>
          <w:color w:val="auto"/>
        </w:rPr>
        <w:t>HCI</w:t>
      </w:r>
      <w:r>
        <w:rPr>
          <w:rFonts w:ascii="Times New Roman" w:cs="Times New Roman" w:eastAsia="Times New Roman" w:hAnsi="Times New Roman"/>
          <w:sz w:val="18"/>
          <w:szCs w:val="18"/>
          <w:color w:val="auto"/>
        </w:rPr>
        <w:t>”), (ii) Harraden Circle Special Opportunities, LP (“</w:t>
      </w:r>
      <w:r>
        <w:rPr>
          <w:rFonts w:ascii="Times New Roman" w:cs="Times New Roman" w:eastAsia="Times New Roman" w:hAnsi="Times New Roman"/>
          <w:sz w:val="18"/>
          <w:szCs w:val="18"/>
          <w:b w:val="1"/>
          <w:bCs w:val="1"/>
          <w:color w:val="auto"/>
        </w:rPr>
        <w:t>HCSO</w:t>
      </w:r>
      <w:r>
        <w:rPr>
          <w:rFonts w:ascii="Times New Roman" w:cs="Times New Roman" w:eastAsia="Times New Roman" w:hAnsi="Times New Roman"/>
          <w:sz w:val="18"/>
          <w:szCs w:val="18"/>
          <w:color w:val="auto"/>
        </w:rPr>
        <w:t>”), (iii)</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Harraden Circle Strategic Investments, LP (“</w:t>
      </w:r>
      <w:r>
        <w:rPr>
          <w:rFonts w:ascii="Times New Roman" w:cs="Times New Roman" w:eastAsia="Times New Roman" w:hAnsi="Times New Roman"/>
          <w:sz w:val="18"/>
          <w:szCs w:val="18"/>
          <w:b w:val="1"/>
          <w:bCs w:val="1"/>
          <w:color w:val="auto"/>
        </w:rPr>
        <w:t>HCSI</w:t>
      </w:r>
      <w:r>
        <w:rPr>
          <w:rFonts w:ascii="Times New Roman" w:cs="Times New Roman" w:eastAsia="Times New Roman" w:hAnsi="Times New Roman"/>
          <w:sz w:val="18"/>
          <w:szCs w:val="18"/>
          <w:color w:val="auto"/>
        </w:rPr>
        <w:t>”), (iv) Harraden Circle Concentrated, LP (“</w:t>
      </w:r>
      <w:r>
        <w:rPr>
          <w:rFonts w:ascii="Times New Roman" w:cs="Times New Roman" w:eastAsia="Times New Roman" w:hAnsi="Times New Roman"/>
          <w:sz w:val="18"/>
          <w:szCs w:val="18"/>
          <w:b w:val="1"/>
          <w:bCs w:val="1"/>
          <w:color w:val="auto"/>
        </w:rPr>
        <w:t>HCC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(with HCI, HCSO, HCSI, HCC collectively, as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Prepaid Share Forward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The purpose of this agreement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confirm the terms and conditions of the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entered into between Seller and the Counterparty on the Trade Date specified below. The term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xml:space="preserve">” refers to CAEP until the Business Combination (as defined below), and to AIRH following the Business Combination.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refers to AIR Limited, a private limited company incorporated under the law of Jersey (</w:t>
      </w:r>
      <w:r>
        <w:rPr>
          <w:rFonts w:ascii="Times New Roman" w:cs="Times New Roman" w:eastAsia="Times New Roman" w:hAnsi="Times New Roman"/>
          <w:sz w:val="18"/>
          <w:szCs w:val="18"/>
          <w:b w:val="1"/>
          <w:bCs w:val="1"/>
          <w:color w:val="auto"/>
        </w:rPr>
        <w:t>“AIR”</w:t>
      </w:r>
      <w:r>
        <w:rPr>
          <w:rFonts w:ascii="Times New Roman" w:cs="Times New Roman" w:eastAsia="Times New Roman" w:hAnsi="Times New Roman"/>
          <w:sz w:val="18"/>
          <w:szCs w:val="18"/>
          <w:color w:val="auto"/>
        </w:rPr>
        <w:t>), prior to the Business Combination.</w:t>
      </w:r>
    </w:p>
    <w:p>
      <w:pPr>
        <w:spacing w:after="0" w:line="14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Certain terms of the Transaction shall be as set forth in this Confirmation, with additional terms as set forth in a Pricing Date Notice (the “</w:t>
      </w:r>
      <w:r>
        <w:rPr>
          <w:rFonts w:ascii="Times New Roman" w:cs="Times New Roman" w:eastAsia="Times New Roman" w:hAnsi="Times New Roman"/>
          <w:sz w:val="18"/>
          <w:szCs w:val="18"/>
          <w:b w:val="1"/>
          <w:bCs w:val="1"/>
          <w:color w:val="auto"/>
        </w:rPr>
        <w:t>Pricing Date Notice</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This Confirmation, together with the Pricing Date Notice, constitutes a “Confirmation,” and the Transaction constitutes a separate “Transaction” as referred to in the ISDA Form (as defined below).</w:t>
      </w:r>
    </w:p>
    <w:p>
      <w:pPr>
        <w:spacing w:after="0" w:line="15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Confirmation, together with the Pricing Date Notice, evidences a complete binding agreement between Seller, Target and Counterparty as to the subject matter and terms of the Transaction to which this Confirmation relates and shall supersede all prior or contemporaneous written or oral communications with respect thereto.</w:t>
      </w:r>
    </w:p>
    <w:p>
      <w:pPr>
        <w:spacing w:after="0" w:line="13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2006 ISDA Definitions (the “</w:t>
      </w:r>
      <w:r>
        <w:rPr>
          <w:rFonts w:ascii="Times New Roman" w:cs="Times New Roman" w:eastAsia="Times New Roman" w:hAnsi="Times New Roman"/>
          <w:sz w:val="18"/>
          <w:szCs w:val="18"/>
          <w:b w:val="1"/>
          <w:bCs w:val="1"/>
          <w:color w:val="auto"/>
        </w:rPr>
        <w:t>Swap Definitions</w:t>
      </w:r>
      <w:r>
        <w:rPr>
          <w:rFonts w:ascii="Times New Roman" w:cs="Times New Roman" w:eastAsia="Times New Roman" w:hAnsi="Times New Roman"/>
          <w:sz w:val="18"/>
          <w:szCs w:val="18"/>
          <w:color w:val="auto"/>
        </w:rPr>
        <w:t>”) and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with the Swap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each as published by the International Swaps and Derivatives Association, Inc., are incorporated into this Confirmation. If there is any inconsistency between the Definitions and this Confirmation, this Confirmation governs. If, in relation to the Transaction, there is any inconsistency between the ISDA Form, this Confirmation (including the Pricing Date Notice), the Swap Definitions and the Equity Definitions, the following will prevail for purposes of such Transaction in the order of precedence indicated: (i) this Confirmation (including the Pricing Date Notice); (ii) the Equity Definitions; (iii) the Swap Definitions; and (iv) the ISDA Form.</w:t>
      </w:r>
    </w:p>
    <w:p>
      <w:pPr>
        <w:spacing w:after="0" w:line="14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Confirmation, together with the Pricing Date Notice, shall supplement, form a part of, and be subject to an agreement in the form of the ISDA 2002 Master Agreement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if Seller, Target and Counterparty had executed an agreement in such form (but without any Schedule except as set forth herein under “</w:t>
      </w:r>
      <w:r>
        <w:rPr>
          <w:rFonts w:ascii="Times New Roman" w:cs="Times New Roman" w:eastAsia="Times New Roman" w:hAnsi="Times New Roman"/>
          <w:sz w:val="18"/>
          <w:szCs w:val="18"/>
          <w:b w:val="1"/>
          <w:bCs w:val="1"/>
          <w:color w:val="auto"/>
        </w:rPr>
        <w:t>Schedule Provisions</w:t>
      </w:r>
      <w:r>
        <w:rPr>
          <w:rFonts w:ascii="Times New Roman" w:cs="Times New Roman" w:eastAsia="Times New Roman" w:hAnsi="Times New Roman"/>
          <w:sz w:val="18"/>
          <w:szCs w:val="18"/>
          <w:color w:val="auto"/>
        </w:rPr>
        <w:t>”) on the Trade Date.</w:t>
      </w:r>
    </w:p>
    <w:p>
      <w:pPr>
        <w:spacing w:after="0" w:line="153"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terms of the particular Transaction to which this Confirmation relates are as follows, and capitalized terms, as used herein and to the extent not otherwise defined, shall have as their definitions the applicable terms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1139190</wp:posOffset>
            </wp:positionV>
            <wp:extent cx="703770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3" w:name="page94"/>
    <w:bookmarkEnd w:id="93"/>
    <w:p>
      <w:pPr>
        <w:ind w:left="1320"/>
        <w:spacing w:after="0"/>
        <w:rPr>
          <w:sz w:val="20"/>
          <w:szCs w:val="20"/>
          <w:color w:val="auto"/>
        </w:rPr>
      </w:pPr>
      <w:r>
        <w:rPr>
          <w:rFonts w:ascii="Times New Roman" w:cs="Times New Roman" w:eastAsia="Times New Roman" w:hAnsi="Times New Roman"/>
          <w:sz w:val="18"/>
          <w:szCs w:val="18"/>
          <w:b w:val="1"/>
          <w:bCs w:val="1"/>
          <w:u w:val="single" w:color="auto"/>
          <w:color w:val="auto"/>
        </w:rPr>
        <w:t>General Terms</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Type of Transaction: Share Forward Transaction</w:t>
      </w:r>
    </w:p>
    <w:p>
      <w:pPr>
        <w:sectPr>
          <w:pgSz w:w="11900" w:h="16838" w:orient="portrait"/>
          <w:cols w:equalWidth="0" w:num="1">
            <w:col w:w="11040"/>
          </w:cols>
          <w:pgMar w:left="420" w:top="1413" w:right="439" w:bottom="1440" w:gutter="0" w:footer="0" w:header="0"/>
        </w:sectPr>
      </w:pP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11, 2026</w:t>
      </w:r>
    </w:p>
    <w:p>
      <w:pPr>
        <w:spacing w:after="0" w:line="200" w:lineRule="exact"/>
        <w:rPr>
          <w:sz w:val="20"/>
          <w:szCs w:val="20"/>
          <w:color w:val="auto"/>
        </w:rPr>
      </w:pPr>
    </w:p>
    <w:p>
      <w:pPr>
        <w:sectPr>
          <w:pgSz w:w="11900" w:h="16838" w:orient="portrait"/>
          <w:cols w:equalWidth="0" w:num="2">
            <w:col w:w="2200" w:space="720"/>
            <w:col w:w="8120"/>
          </w:cols>
          <w:pgMar w:left="420" w:top="1413" w:right="439" w:bottom="1440" w:gutter="0" w:footer="0" w:header="0"/>
          <w:type w:val="continuous"/>
        </w:sectPr>
      </w:pP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Valuation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1300"/>
        <w:spacing w:after="0" w:line="253" w:lineRule="auto"/>
        <w:rPr>
          <w:sz w:val="20"/>
          <w:szCs w:val="20"/>
          <w:color w:val="auto"/>
        </w:rPr>
      </w:pPr>
      <w:r>
        <w:rPr>
          <w:rFonts w:ascii="Times New Roman" w:cs="Times New Roman" w:eastAsia="Times New Roman" w:hAnsi="Times New Roman"/>
          <w:sz w:val="18"/>
          <w:szCs w:val="18"/>
          <w:color w:val="auto"/>
        </w:rPr>
        <w:t>The earlier to occur of (a) the date that is 6-months after the closing of the transactions between Counterparty and Target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the Business Combination Agreement, dated as of November 7, 2025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or (b) ten Exchange Business Days following the date upon which Counterparty, in its sole discretion, delivers written notice to Seller that Counterparty is accelerating the Valuation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notice delivered pursuant to this clause (2) shall not be effective on any date prior to the date that is 3-months after the closing of the Business Combination. Counterparty shall have the right, in its sole discretion, to extend the Valuation Date up to two times by 3-months each time by delivering written notice to Seller at least ten Exchange Business Days in advance of the then-scheduled Valuation Date.</w:t>
      </w:r>
    </w:p>
    <w:p>
      <w:pPr>
        <w:spacing w:after="0" w:line="194" w:lineRule="exact"/>
        <w:rPr>
          <w:sz w:val="20"/>
          <w:szCs w:val="20"/>
          <w:color w:val="auto"/>
        </w:rPr>
      </w:pPr>
    </w:p>
    <w:p>
      <w:pPr>
        <w:sectPr>
          <w:pgSz w:w="11900" w:h="16838" w:orient="portrait"/>
          <w:cols w:equalWidth="0" w:num="2">
            <w:col w:w="2460" w:space="460"/>
            <w:col w:w="8120"/>
          </w:cols>
          <w:pgMar w:left="420" w:top="1413" w:right="439" w:bottom="1440" w:gutter="0" w:footer="0" w:header="0"/>
          <w:type w:val="continuous"/>
        </w:sectPr>
      </w:pPr>
    </w:p>
    <w:p>
      <w:pPr>
        <w:jc w:val="both"/>
        <w:ind w:left="2920" w:right="1300" w:hanging="1605"/>
        <w:spacing w:after="0" w:line="261" w:lineRule="auto"/>
        <w:rPr>
          <w:sz w:val="20"/>
          <w:szCs w:val="20"/>
          <w:color w:val="auto"/>
        </w:rPr>
      </w:pPr>
      <w:r>
        <w:rPr>
          <w:rFonts w:ascii="Times New Roman" w:cs="Times New Roman" w:eastAsia="Times New Roman" w:hAnsi="Times New Roman"/>
          <w:sz w:val="18"/>
          <w:szCs w:val="18"/>
          <w:color w:val="auto"/>
        </w:rPr>
        <w:t>Pricing Date Notice: Seller shall deliver to Counterparty the Pricing Date Notice no later than one (1) business day on which Nasdaq and commercial banks in the City of New York are open for business (each such day an “</w:t>
      </w:r>
      <w:r>
        <w:rPr>
          <w:rFonts w:ascii="Times New Roman" w:cs="Times New Roman" w:eastAsia="Times New Roman" w:hAnsi="Times New Roman"/>
          <w:sz w:val="18"/>
          <w:szCs w:val="18"/>
          <w:b w:val="1"/>
          <w:bCs w:val="1"/>
          <w:color w:val="auto"/>
        </w:rPr>
        <w:t>Exchange Business Day</w:t>
      </w:r>
      <w:r>
        <w:rPr>
          <w:rFonts w:ascii="Times New Roman" w:cs="Times New Roman" w:eastAsia="Times New Roman" w:hAnsi="Times New Roman"/>
          <w:sz w:val="18"/>
          <w:szCs w:val="18"/>
          <w:color w:val="auto"/>
        </w:rPr>
        <w:t>”) following the closing of the Business Combination. The Pricing Date Notice shall include the Number of Shares subject to this Confirmation.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Seller:</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w:t>
            </w:r>
          </w:p>
        </w:tc>
      </w:tr>
      <w:tr>
        <w:trPr>
          <w:trHeight w:val="432"/>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Buyer:</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Counterparty.</w:t>
            </w:r>
          </w:p>
        </w:tc>
      </w:tr>
      <w:tr>
        <w:trPr>
          <w:trHeight w:val="414"/>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Shares:</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to the closing of the Business Combination, the Class A ordinary shares, par value</w:t>
            </w:r>
          </w:p>
        </w:tc>
      </w:tr>
      <w:tr>
        <w:trPr>
          <w:trHeight w:val="212"/>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$0.0001 per share, of Cantor Equity Partners III, Inc, a Cayman Islands exempted company, a</w:t>
            </w:r>
          </w:p>
        </w:tc>
      </w:tr>
      <w:tr>
        <w:trPr>
          <w:trHeight w:val="220"/>
        </w:trPr>
        <w:tc>
          <w:tcPr>
            <w:tcW w:w="2800" w:type="dxa"/>
            <w:vAlign w:val="bottom"/>
          </w:tcPr>
          <w:p>
            <w:pPr>
              <w:spacing w:after="0"/>
              <w:rPr>
                <w:sz w:val="19"/>
                <w:szCs w:val="19"/>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 exempted company (Ticker: “</w:t>
            </w:r>
            <w:r>
              <w:rPr>
                <w:rFonts w:ascii="Times New Roman" w:cs="Times New Roman" w:eastAsia="Times New Roman" w:hAnsi="Times New Roman"/>
                <w:sz w:val="18"/>
                <w:szCs w:val="18"/>
                <w:b w:val="1"/>
                <w:bCs w:val="1"/>
                <w:color w:val="auto"/>
              </w:rPr>
              <w:t>CAEP</w:t>
            </w:r>
            <w:r>
              <w:rPr>
                <w:rFonts w:ascii="Times New Roman" w:cs="Times New Roman" w:eastAsia="Times New Roman" w:hAnsi="Times New Roman"/>
                <w:sz w:val="18"/>
                <w:szCs w:val="18"/>
                <w:color w:val="auto"/>
              </w:rPr>
              <w:t>”) and after the Business Combination,</w:t>
            </w:r>
          </w:p>
        </w:tc>
      </w:tr>
      <w:tr>
        <w:trPr>
          <w:trHeight w:val="212"/>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ordinary shares, par value $0.01 per share, of AIR Holdings Limited a private limited</w:t>
            </w:r>
          </w:p>
        </w:tc>
      </w:tr>
      <w:tr>
        <w:trPr>
          <w:trHeight w:val="238"/>
        </w:trPr>
        <w:tc>
          <w:tcPr>
            <w:tcW w:w="28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incorporated under the laws of Jersey (Ticker: “</w:t>
            </w:r>
            <w:r>
              <w:rPr>
                <w:rFonts w:ascii="Times New Roman" w:cs="Times New Roman" w:eastAsia="Times New Roman" w:hAnsi="Times New Roman"/>
                <w:sz w:val="18"/>
                <w:szCs w:val="18"/>
                <w:b w:val="1"/>
                <w:bCs w:val="1"/>
                <w:color w:val="auto"/>
              </w:rPr>
              <w:t>AIIR</w:t>
            </w:r>
            <w:r>
              <w:rPr>
                <w:rFonts w:ascii="Times New Roman" w:cs="Times New Roman" w:eastAsia="Times New Roman" w:hAnsi="Times New Roman"/>
                <w:sz w:val="18"/>
                <w:szCs w:val="18"/>
                <w:color w:val="auto"/>
              </w:rPr>
              <w:t>”).</w:t>
            </w:r>
          </w:p>
        </w:tc>
      </w:tr>
      <w:tr>
        <w:trPr>
          <w:trHeight w:val="414"/>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Number of Shares:</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Number of Recycled Shares, but in no event more than the Maximum Number of Shares.</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Number of Shares is subject to reduction as described under “Mandatory Early</w:t>
            </w:r>
          </w:p>
        </w:tc>
      </w:tr>
      <w:tr>
        <w:trPr>
          <w:trHeight w:val="234"/>
        </w:trPr>
        <w:tc>
          <w:tcPr>
            <w:tcW w:w="28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w:t>
            </w:r>
          </w:p>
        </w:tc>
      </w:tr>
      <w:tr>
        <w:trPr>
          <w:trHeight w:val="414"/>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Recycled</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number of free trading Shares (such Shares referred to herein as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equal</w:t>
            </w:r>
          </w:p>
        </w:tc>
      </w:tr>
      <w:tr>
        <w:trPr>
          <w:trHeight w:val="216"/>
        </w:trPr>
        <w:tc>
          <w:tcPr>
            <w:tcW w:w="28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Shares:</w:t>
            </w: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the number of Shares purchased by Seller from third parties (other than Counterparty)</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through a broker in the open market (other than through Counterparty) prior to the closing of</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Business Combination, including (without limitation) Shares purchased prior to the Trade</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provided that Seller shall have irrevocably waived all redemption rights with respect to</w:t>
            </w:r>
          </w:p>
        </w:tc>
      </w:tr>
      <w:tr>
        <w:trPr>
          <w:trHeight w:val="212"/>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such Shares as provided below in the section captioned “Transactions by Seller in the Shares”.</w:t>
            </w:r>
          </w:p>
        </w:tc>
      </w:tr>
      <w:tr>
        <w:trPr>
          <w:trHeight w:val="220"/>
        </w:trPr>
        <w:tc>
          <w:tcPr>
            <w:tcW w:w="2800" w:type="dxa"/>
            <w:vAlign w:val="bottom"/>
          </w:tcPr>
          <w:p>
            <w:pPr>
              <w:spacing w:after="0"/>
              <w:rPr>
                <w:sz w:val="19"/>
                <w:szCs w:val="19"/>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 shall specify the number of Recycled Shares (the “</w:t>
            </w:r>
            <w:r>
              <w:rPr>
                <w:rFonts w:ascii="Times New Roman" w:cs="Times New Roman" w:eastAsia="Times New Roman" w:hAnsi="Times New Roman"/>
                <w:sz w:val="18"/>
                <w:szCs w:val="18"/>
                <w:b w:val="1"/>
                <w:bCs w:val="1"/>
                <w:color w:val="auto"/>
              </w:rPr>
              <w:t>Number of Recycled Shares</w:t>
            </w:r>
            <w:r>
              <w:rPr>
                <w:rFonts w:ascii="Times New Roman" w:cs="Times New Roman" w:eastAsia="Times New Roman" w:hAnsi="Times New Roman"/>
                <w:sz w:val="18"/>
                <w:szCs w:val="18"/>
                <w:color w:val="auto"/>
              </w:rPr>
              <w:t>”) in</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initial Pricing Date Notice. Seller (i) will only purchase Public Shares for which</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Counterparty has confirmed in writing that redemption rights were previously validly</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 and have been validly reversed, and (ii) will not purchase Public Shares in excess of</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number of redemption reversals confirmed in writing by Counterparty. No Shares shall be</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considered Recycled Shares unless they are or were purchased in accordance with the</w:t>
            </w:r>
          </w:p>
        </w:tc>
      </w:tr>
      <w:tr>
        <w:trPr>
          <w:trHeight w:val="234"/>
        </w:trPr>
        <w:tc>
          <w:tcPr>
            <w:tcW w:w="28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foregoing sentence.</w:t>
            </w:r>
          </w:p>
        </w:tc>
      </w:tr>
      <w:tr>
        <w:trPr>
          <w:trHeight w:val="414"/>
        </w:trPr>
        <w:tc>
          <w:tcPr>
            <w:tcW w:w="2800" w:type="dxa"/>
            <w:vAlign w:val="bottom"/>
          </w:tcPr>
          <w:p>
            <w:pPr>
              <w:spacing w:after="0"/>
              <w:rPr>
                <w:sz w:val="24"/>
                <w:szCs w:val="24"/>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Notwithstanding anything to the contrary herein, Seller shall not pay more than the</w:t>
            </w:r>
          </w:p>
        </w:tc>
      </w:tr>
      <w:tr>
        <w:trPr>
          <w:trHeight w:val="216"/>
        </w:trPr>
        <w:tc>
          <w:tcPr>
            <w:tcW w:w="28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Price for any Shares purchased by Seller from third parties (other than</w:t>
            </w:r>
          </w:p>
        </w:tc>
      </w:tr>
      <w:tr>
        <w:trPr>
          <w:trHeight w:val="234"/>
        </w:trPr>
        <w:tc>
          <w:tcPr>
            <w:tcW w:w="28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Counterparty).</w:t>
            </w:r>
          </w:p>
        </w:tc>
      </w:tr>
      <w:tr>
        <w:trPr>
          <w:trHeight w:val="1411"/>
        </w:trPr>
        <w:tc>
          <w:tcPr>
            <w:tcW w:w="280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3" w:right="439" w:bottom="1440" w:gutter="0" w:footer="0" w:header="0"/>
          <w:type w:val="continuous"/>
        </w:sectPr>
      </w:pPr>
    </w:p>
    <w:bookmarkStart w:id="94" w:name="page95"/>
    <w:bookmarkEnd w:id="9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Maximum Number</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Initially 5,000,000 (the “</w:t>
            </w:r>
            <w:r>
              <w:rPr>
                <w:rFonts w:ascii="Times New Roman" w:cs="Times New Roman" w:eastAsia="Times New Roman" w:hAnsi="Times New Roman"/>
                <w:sz w:val="18"/>
                <w:szCs w:val="18"/>
                <w:b w:val="1"/>
                <w:bCs w:val="1"/>
                <w:color w:val="auto"/>
              </w:rPr>
              <w:t>Purchased Amount</w:t>
            </w:r>
            <w:r>
              <w:rPr>
                <w:rFonts w:ascii="Times New Roman" w:cs="Times New Roman" w:eastAsia="Times New Roman" w:hAnsi="Times New Roman"/>
                <w:sz w:val="18"/>
                <w:szCs w:val="18"/>
                <w:color w:val="auto"/>
              </w:rPr>
              <w:t>”).</w:t>
            </w:r>
          </w:p>
        </w:tc>
      </w:tr>
      <w:tr>
        <w:trPr>
          <w:trHeight w:val="23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 Shares:</w:t>
            </w:r>
          </w:p>
        </w:tc>
        <w:tc>
          <w:tcPr>
            <w:tcW w:w="8180" w:type="dxa"/>
            <w:vAlign w:val="bottom"/>
          </w:tcPr>
          <w:p>
            <w:pPr>
              <w:spacing w:after="0"/>
              <w:rPr>
                <w:sz w:val="20"/>
                <w:szCs w:val="20"/>
                <w:color w:val="auto"/>
              </w:rPr>
            </w:pPr>
          </w:p>
        </w:tc>
      </w:tr>
      <w:tr>
        <w:trPr>
          <w:trHeight w:val="410"/>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Initial Price:</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redemption price at the closing of the Business Combination in accordance with the</w:t>
            </w:r>
          </w:p>
        </w:tc>
      </w:tr>
      <w:tr>
        <w:trPr>
          <w:trHeight w:val="220"/>
        </w:trPr>
        <w:tc>
          <w:tcPr>
            <w:tcW w:w="286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organizational/constitutive  documents  of  the  Counterparty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tc>
      </w:tr>
      <w:tr>
        <w:trPr>
          <w:trHeight w:val="212"/>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Notwithstanding the Initial Price, the minimum price at which Seller may sell, transfer or</w:t>
            </w:r>
          </w:p>
        </w:tc>
      </w:tr>
      <w:tr>
        <w:trPr>
          <w:trHeight w:val="220"/>
        </w:trPr>
        <w:tc>
          <w:tcPr>
            <w:tcW w:w="286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otherwise dispose of any Recycled Shares shall be $10.00 (the “</w:t>
            </w:r>
            <w:r>
              <w:rPr>
                <w:rFonts w:ascii="Times New Roman" w:cs="Times New Roman" w:eastAsia="Times New Roman" w:hAnsi="Times New Roman"/>
                <w:sz w:val="18"/>
                <w:szCs w:val="18"/>
                <w:b w:val="1"/>
                <w:bCs w:val="1"/>
                <w:color w:val="auto"/>
              </w:rPr>
              <w:t>Minimum Sale Price</w:t>
            </w:r>
            <w:r>
              <w:rPr>
                <w:rFonts w:ascii="Times New Roman" w:cs="Times New Roman" w:eastAsia="Times New Roman" w:hAnsi="Times New Roman"/>
                <w:sz w:val="18"/>
                <w:szCs w:val="18"/>
                <w:color w:val="auto"/>
              </w:rPr>
              <w:t>”).</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 shall not sell, transfer or otherwise dispose of any Recycled Shares at a price below the</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Minimum Sale Price, and any sale of Recycled Shares below the Minimum Sale Price shall</w:t>
            </w:r>
          </w:p>
        </w:tc>
      </w:tr>
      <w:tr>
        <w:trPr>
          <w:trHeight w:val="212"/>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constitute a material breach of this Confirmation. The Minimum Sale Price and the Volume</w:t>
            </w:r>
          </w:p>
        </w:tc>
      </w:tr>
      <w:tr>
        <w:trPr>
          <w:trHeight w:val="220"/>
        </w:trPr>
        <w:tc>
          <w:tcPr>
            <w:tcW w:w="2860" w:type="dxa"/>
            <w:vAlign w:val="bottom"/>
          </w:tcPr>
          <w:p>
            <w:pPr>
              <w:spacing w:after="0"/>
              <w:rPr>
                <w:sz w:val="19"/>
                <w:szCs w:val="19"/>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Limit (as defined under “</w:t>
            </w:r>
            <w:r>
              <w:rPr>
                <w:rFonts w:ascii="Times New Roman" w:cs="Times New Roman" w:eastAsia="Times New Roman" w:hAnsi="Times New Roman"/>
                <w:sz w:val="18"/>
                <w:szCs w:val="18"/>
                <w:b w:val="1"/>
                <w:bCs w:val="1"/>
                <w:color w:val="auto"/>
              </w:rPr>
              <w:t>Mandatory Early Termination</w:t>
            </w:r>
            <w:r>
              <w:rPr>
                <w:rFonts w:ascii="Times New Roman" w:cs="Times New Roman" w:eastAsia="Times New Roman" w:hAnsi="Times New Roman"/>
                <w:sz w:val="18"/>
                <w:szCs w:val="18"/>
                <w:color w:val="auto"/>
              </w:rPr>
              <w:t>”) shall apply solely to the Recycled</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subject to this Confirmation, and any other Shares held by Seller shall not be subject to</w:t>
            </w:r>
          </w:p>
        </w:tc>
      </w:tr>
      <w:tr>
        <w:trPr>
          <w:trHeight w:val="234"/>
        </w:trPr>
        <w:tc>
          <w:tcPr>
            <w:tcW w:w="286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restrictions.</w:t>
            </w:r>
          </w:p>
        </w:tc>
      </w:tr>
      <w:tr>
        <w:trPr>
          <w:trHeight w:val="41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Prepayment:</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the Prepayment Amount shall be made directly from the Counterparty’s Trust</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 maintained by Continental Stock Transfer &amp; Trust Company holding the net</w:t>
            </w:r>
          </w:p>
        </w:tc>
      </w:tr>
      <w:tr>
        <w:trPr>
          <w:trHeight w:val="212"/>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of the sale of the Class A ordinary shares in Counterparty’s initial public offering</w:t>
            </w:r>
          </w:p>
        </w:tc>
      </w:tr>
      <w:tr>
        <w:trPr>
          <w:trHeight w:val="238"/>
        </w:trPr>
        <w:tc>
          <w:tcPr>
            <w:tcW w:w="286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on the Prepayment Date.</w:t>
            </w:r>
          </w:p>
        </w:tc>
      </w:tr>
      <w:tr>
        <w:trPr>
          <w:trHeight w:val="846"/>
        </w:trPr>
        <w:tc>
          <w:tcPr>
            <w:tcW w:w="2860" w:type="dxa"/>
            <w:vAlign w:val="bottom"/>
          </w:tcPr>
          <w:p>
            <w:pPr>
              <w:spacing w:after="0"/>
              <w:rPr>
                <w:sz w:val="24"/>
                <w:szCs w:val="24"/>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Counterparty shall provide (a) notice to Counterparty’s trustee of the entry into this</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Confirmation no later than one (1) Local Business Day following the date hereof, with copy to</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Seller and Seller’s outside legal counsel, and (b) to Seller and Seller’s outside legal counsel a</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redacted copy of the final flow of funds that shows the itemized Prepayment Amount due</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from the Trust Account prior to the closing of the Business Combination with all other wire</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 in such flow of funds redacted; provided that Seller shall be invited to attend any</w:t>
            </w:r>
          </w:p>
        </w:tc>
      </w:tr>
      <w:tr>
        <w:trPr>
          <w:trHeight w:val="234"/>
        </w:trPr>
        <w:tc>
          <w:tcPr>
            <w:tcW w:w="286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call in connection with the Business Combination.</w:t>
            </w:r>
          </w:p>
        </w:tc>
      </w:tr>
      <w:tr>
        <w:trPr>
          <w:trHeight w:val="410"/>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Prepayment</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the Prepayment Date, the Counterparty will pay to the Seller an amount equal to the (i)</w:t>
            </w:r>
          </w:p>
        </w:tc>
      </w:tr>
      <w:tr>
        <w:trPr>
          <w:trHeight w:val="238"/>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Amount:</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of Shares, multiplied by (ii) the Initial Price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w:t>
            </w:r>
          </w:p>
        </w:tc>
      </w:tr>
      <w:tr>
        <w:trPr>
          <w:trHeight w:val="41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Prepayment Date:</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earlier of (a) one (1) Local Business Day after the closing of the Business Combination</w:t>
            </w:r>
          </w:p>
        </w:tc>
      </w:tr>
      <w:tr>
        <w:trPr>
          <w:trHeight w:val="216"/>
        </w:trPr>
        <w:tc>
          <w:tcPr>
            <w:tcW w:w="2860" w:type="dxa"/>
            <w:vAlign w:val="bottom"/>
          </w:tcPr>
          <w:p>
            <w:pPr>
              <w:spacing w:after="0"/>
              <w:rPr>
                <w:sz w:val="18"/>
                <w:szCs w:val="18"/>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(b) the date any assets from the Trust Account are disbursed in connection with the</w:t>
            </w:r>
          </w:p>
        </w:tc>
      </w:tr>
      <w:tr>
        <w:trPr>
          <w:trHeight w:val="234"/>
        </w:trPr>
        <w:tc>
          <w:tcPr>
            <w:tcW w:w="286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Combination.</w:t>
            </w:r>
          </w:p>
        </w:tc>
      </w:tr>
      <w:tr>
        <w:trPr>
          <w:trHeight w:val="432"/>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Variable Obligation:</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Redemptions:</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Counterparty shall promptly accept any redemption reversal requests in connection with</w:t>
            </w:r>
          </w:p>
        </w:tc>
      </w:tr>
      <w:tr>
        <w:trPr>
          <w:trHeight w:val="234"/>
        </w:trPr>
        <w:tc>
          <w:tcPr>
            <w:tcW w:w="2860" w:type="dxa"/>
            <w:vAlign w:val="bottom"/>
          </w:tcPr>
          <w:p>
            <w:pPr>
              <w:spacing w:after="0"/>
              <w:rPr>
                <w:sz w:val="20"/>
                <w:szCs w:val="20"/>
                <w:color w:val="auto"/>
              </w:rPr>
            </w:pP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Shares by Seller for any Public Shares subject to this Confirmation.</w:t>
            </w:r>
          </w:p>
        </w:tc>
      </w:tr>
      <w:tr>
        <w:trPr>
          <w:trHeight w:val="432"/>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Exchange(s):</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w:t>
            </w:r>
          </w:p>
        </w:tc>
      </w:tr>
      <w:tr>
        <w:trPr>
          <w:trHeight w:val="41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Related</w:t>
            </w:r>
          </w:p>
        </w:tc>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28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Exchange(s):</w:t>
            </w:r>
          </w:p>
        </w:tc>
        <w:tc>
          <w:tcPr>
            <w:tcW w:w="8180" w:type="dxa"/>
            <w:vAlign w:val="bottom"/>
          </w:tcPr>
          <w:p>
            <w:pPr>
              <w:spacing w:after="0"/>
              <w:rPr>
                <w:sz w:val="20"/>
                <w:szCs w:val="20"/>
                <w:color w:val="auto"/>
              </w:rPr>
            </w:pPr>
          </w:p>
        </w:tc>
      </w:tr>
      <w:tr>
        <w:trPr>
          <w:trHeight w:val="1627"/>
        </w:trPr>
        <w:tc>
          <w:tcPr>
            <w:tcW w:w="28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95" w:name="page96"/>
    <w:bookmarkEnd w:id="95"/>
    <w:tbl>
      <w:tblPr>
        <w:tblLayout w:type="fixed"/>
        <w:tblInd w:w="30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Reimbursement of</w:t>
            </w: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Counterparty shall pay to Seller an amount equal to (a) the reasonable and documented out-of-</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w:t>
            </w: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pocket attorney fees incurred by Seller or its affiliates in connection with this Transaction in</w:t>
            </w: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an amount not to exceed $10,000; and (b) brokerage commissions and other fees and expenses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incurred and documented in connection with the acquisition of the Public Shares and pre-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approved by Counterparty (such approval at the absolute discretion of Counterparty). Such</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commissions and other fees and expenses must be substantiated by documentation to confirm</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such  commissions,  fees  and  expenses  are  incurred,  and  copies  thereof  delivered  to</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Counterparty. Reimbursement of Legal Fees and Other Expenses provided in clause (a) herein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shall be paid on the first Local Business Day after an invoice and payment instructions are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received by the Counterparty in writing (provided that any writing received on or after 5:00</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p.m. (New York time) shall be deemed received on the following Local Business Day), but in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no event shall such payment be due or payable prior to the closing of the Business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Combination. Reimbursement of Legal Fees and Other Expenses provided in clause (b) herein</w:t>
            </w:r>
          </w:p>
        </w:tc>
      </w:tr>
      <w:tr>
        <w:trPr>
          <w:trHeight w:val="180"/>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94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rPr>
              <w:t>shall be paid four (4) Local Business Days after the Counterparty receives substantiation of</w:t>
            </w:r>
          </w:p>
        </w:tc>
      </w:tr>
      <w:tr>
        <w:trPr>
          <w:trHeight w:val="303"/>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expense.</w:t>
            </w:r>
          </w:p>
        </w:tc>
      </w:tr>
      <w:tr>
        <w:trPr>
          <w:trHeight w:val="359"/>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Settlement Terms</w:t>
            </w:r>
          </w:p>
        </w:tc>
        <w:tc>
          <w:tcPr>
            <w:tcW w:w="12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4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w:t>
            </w:r>
          </w:p>
        </w:tc>
        <w:tc>
          <w:tcPr>
            <w:tcW w:w="6940" w:type="dxa"/>
            <w:vAlign w:val="bottom"/>
          </w:tcPr>
          <w:p>
            <w:pPr>
              <w:spacing w:after="0"/>
              <w:rPr>
                <w:sz w:val="20"/>
                <w:szCs w:val="20"/>
                <w:color w:val="auto"/>
              </w:rPr>
            </w:pPr>
          </w:p>
        </w:tc>
      </w:tr>
      <w:tr>
        <w:trPr>
          <w:trHeight w:val="41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Method:</w:t>
            </w: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Physical Settlement. For the avoidance of doubt, any Recycled Shares not sold by Seller as of</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Valuation Date shall be returned by Seller to Counterparty in accordance with the section</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captioned “Valuation Date Consideration”, and physical settlement shall be effected solely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through the delivery by Seller of such unsold Recycled Shares to Counterparty. The Recycled</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so delivered must be the same Recycled Shares originally acquired and held by Seller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the inception of this Transaction; Seller shall not be permitted to satisfy its delivery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 through the substitution of any other Shares (including, without limitation, any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acquired by Seller in the open market or otherwise after the inception of this</w:t>
            </w: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w:t>
            </w:r>
          </w:p>
        </w:tc>
      </w:tr>
      <w:tr>
        <w:trPr>
          <w:trHeight w:val="41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Dollars.</w:t>
            </w: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w:t>
            </w:r>
          </w:p>
        </w:tc>
        <w:tc>
          <w:tcPr>
            <w:tcW w:w="6940" w:type="dxa"/>
            <w:vAlign w:val="bottom"/>
          </w:tcPr>
          <w:p>
            <w:pPr>
              <w:spacing w:after="0"/>
              <w:rPr>
                <w:sz w:val="20"/>
                <w:szCs w:val="20"/>
                <w:color w:val="auto"/>
              </w:rPr>
            </w:pPr>
          </w:p>
        </w:tc>
      </w:tr>
      <w:tr>
        <w:trPr>
          <w:trHeight w:val="432"/>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Two (2) Exchange Business Days following the Valuation Date.</w:t>
            </w:r>
          </w:p>
        </w:tc>
      </w:tr>
      <w:tr>
        <w:trPr>
          <w:trHeight w:val="41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Dividend</w:t>
            </w: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 Amount.</w:t>
            </w:r>
          </w:p>
        </w:tc>
      </w:tr>
      <w:tr>
        <w:trPr>
          <w:trHeight w:val="234"/>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6940" w:type="dxa"/>
            <w:vAlign w:val="bottom"/>
          </w:tcPr>
          <w:p>
            <w:pPr>
              <w:spacing w:after="0"/>
              <w:rPr>
                <w:sz w:val="20"/>
                <w:szCs w:val="20"/>
                <w:color w:val="auto"/>
              </w:rPr>
            </w:pPr>
          </w:p>
        </w:tc>
      </w:tr>
      <w:tr>
        <w:trPr>
          <w:trHeight w:val="410"/>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Mandatory Early</w:t>
            </w: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From time to time and on any Exchange Business Day following the closing of the Business</w:t>
            </w:r>
          </w:p>
        </w:tc>
      </w:tr>
      <w:tr>
        <w:trPr>
          <w:trHeight w:val="220"/>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w:t>
            </w: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Combination (any such date, an “</w:t>
            </w:r>
            <w:r>
              <w:rPr>
                <w:rFonts w:ascii="Times New Roman" w:cs="Times New Roman" w:eastAsia="Times New Roman" w:hAnsi="Times New Roman"/>
                <w:sz w:val="18"/>
                <w:szCs w:val="18"/>
                <w:b w:val="1"/>
                <w:bCs w:val="1"/>
                <w:color w:val="auto"/>
              </w:rPr>
              <w:t>MET Date</w:t>
            </w:r>
            <w:r>
              <w:rPr>
                <w:rFonts w:ascii="Times New Roman" w:cs="Times New Roman" w:eastAsia="Times New Roman" w:hAnsi="Times New Roman"/>
                <w:sz w:val="18"/>
                <w:szCs w:val="18"/>
                <w:color w:val="auto"/>
              </w:rPr>
              <w:t>”), and subject to the terms and conditions below,</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Seller shall terminate the Transaction in whole or in part with respect to a number of Shares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equal to or greater than 5,000 Shares that are sold by Seller on or prior to such MET Date by</w:t>
            </w:r>
          </w:p>
        </w:tc>
      </w:tr>
      <w:tr>
        <w:trPr>
          <w:trHeight w:val="212"/>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giving notice of such termination and the specified number of Shares (such quantity, the</w:t>
            </w:r>
          </w:p>
        </w:tc>
      </w:tr>
      <w:tr>
        <w:trPr>
          <w:trHeight w:val="220"/>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notwithstanding the foregoing, if at any time the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 is less than 5,000 Shares, any sale, transfer or other disposition of Recycled</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by  Seller on any  Exchange Business Day shall constitute a Mandatory Early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Termination with respect to such Recycled Shares on such Exchange Business Day. Upon any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sale of Recycled Shares equal to or greater than 5,000 Shares by Seller (or upon sale of any</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 Shares if the Number of Shares is less than 5,000 Shares at such time), (i) Seller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shall provide same-day written notification to Counterparty identifying the number of</w:t>
            </w:r>
          </w:p>
        </w:tc>
      </w:tr>
      <w:tr>
        <w:trPr>
          <w:trHeight w:val="212"/>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Recycled Shares sold and the price per Recycled Share at which such Recycled Shares were</w:t>
            </w:r>
          </w:p>
        </w:tc>
      </w:tr>
      <w:tr>
        <w:trPr>
          <w:trHeight w:val="218"/>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sold (the “</w:t>
            </w:r>
            <w:r>
              <w:rPr>
                <w:rFonts w:ascii="Times New Roman" w:cs="Times New Roman" w:eastAsia="Times New Roman" w:hAnsi="Times New Roman"/>
                <w:sz w:val="18"/>
                <w:szCs w:val="18"/>
                <w:b w:val="1"/>
                <w:bCs w:val="1"/>
                <w:color w:val="auto"/>
              </w:rPr>
              <w:t>Average Price</w:t>
            </w:r>
            <w:r>
              <w:rPr>
                <w:rFonts w:ascii="Times New Roman" w:cs="Times New Roman" w:eastAsia="Times New Roman" w:hAnsi="Times New Roman"/>
                <w:sz w:val="18"/>
                <w:szCs w:val="18"/>
                <w:color w:val="auto"/>
              </w:rPr>
              <w:t>”), and (ii) Counterparty shall be entitled to an amount from Seller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equal to (a) the Terminated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sum of (x) the Initial Price and (y) if</w:t>
            </w:r>
          </w:p>
        </w:tc>
      </w:tr>
      <w:tr>
        <w:trPr>
          <w:trHeight w:val="218"/>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Average Price is greater than $15, the Average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$15, which amount Seller shall</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pay to Counterparty within four (4) Settlement Cycles following each MET Date. Seller is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expressly prohibited from selling any Recycled Shares at a price below the Minimum Sale</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Price. The Number of Shares shall be reduced by the number of Terminated Shares for which</w:t>
            </w: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Seller has paid Counterparty as provided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878840</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in this clause. For the avoidance of doubt, this section shall apply solely to the Recycled</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subject to this Confirmation, and any other Shares held by Seller (including any Shares</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by Seller on behalf of its funds in the open market or otherwise) shall not be</w:t>
            </w:r>
          </w:p>
        </w:tc>
      </w:tr>
      <w:tr>
        <w:trPr>
          <w:trHeight w:val="234"/>
        </w:trPr>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Recycled Shares and shall not be subject to this section.</w:t>
            </w:r>
          </w:p>
        </w:tc>
      </w:tr>
      <w:tr>
        <w:trPr>
          <w:trHeight w:val="414"/>
        </w:trPr>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addition to the foregoing, following the closing of the Business Combination, Seller’s sales</w:t>
            </w:r>
          </w:p>
        </w:tc>
      </w:tr>
      <w:tr>
        <w:trPr>
          <w:trHeight w:val="212"/>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Recycled Shares on any single trading day shall not exceed fifteen percent (15.0%) of the</w:t>
            </w:r>
          </w:p>
        </w:tc>
      </w:tr>
      <w:tr>
        <w:trPr>
          <w:trHeight w:val="220"/>
        </w:trPr>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trading volume of the Shares on such trading day (the “</w:t>
            </w:r>
            <w:r>
              <w:rPr>
                <w:rFonts w:ascii="Times New Roman" w:cs="Times New Roman" w:eastAsia="Times New Roman" w:hAnsi="Times New Roman"/>
                <w:sz w:val="18"/>
                <w:szCs w:val="18"/>
                <w:b w:val="1"/>
                <w:bCs w:val="1"/>
                <w:color w:val="auto"/>
              </w:rPr>
              <w:t>Volume Limit</w:t>
            </w:r>
            <w:r>
              <w:rPr>
                <w:rFonts w:ascii="Times New Roman" w:cs="Times New Roman" w:eastAsia="Times New Roman" w:hAnsi="Times New Roman"/>
                <w:sz w:val="18"/>
                <w:szCs w:val="18"/>
                <w:color w:val="auto"/>
              </w:rPr>
              <w:t>”). Any sale</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Recycled Shares by Seller in excess of the Volume Limit shall constitute a material breach</w:t>
            </w:r>
          </w:p>
        </w:tc>
      </w:tr>
      <w:tr>
        <w:trPr>
          <w:trHeight w:val="234"/>
        </w:trPr>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this Confirmation.</w:t>
            </w:r>
          </w:p>
        </w:tc>
      </w:tr>
      <w:tr>
        <w:trPr>
          <w:trHeight w:val="414"/>
        </w:trPr>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remainder of the Transaction, if any, shall continue in accordance with its terms; provided</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that if the MET Date is also the Valuation Date, the remainder of the Transaction shall be</w:t>
            </w:r>
          </w:p>
        </w:tc>
      </w:tr>
      <w:tr>
        <w:trPr>
          <w:trHeight w:val="234"/>
        </w:trPr>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settled in accordance with the other provisions of “Settlement Terms”.</w:t>
            </w:r>
          </w:p>
        </w:tc>
      </w:tr>
      <w:tr>
        <w:trPr>
          <w:trHeight w:val="414"/>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Date</w:t>
            </w: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the Valuation Date, in exchange for the return of Recycled Shares equal to the Number of</w:t>
            </w:r>
          </w:p>
        </w:tc>
      </w:tr>
      <w:tr>
        <w:trPr>
          <w:trHeight w:val="216"/>
        </w:trPr>
        <w:tc>
          <w:tcPr>
            <w:tcW w:w="13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to Counterparty, Seller shall retain an amount equal to (i) the Number of Shares</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multiplied by (ii) the Initial Price. In the event the Valuation Date is accelerated by the</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Counterparty, the Seller shall transfer Recycled Shares equal to the Number of Shares to a</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party reasonably acceptable to the Counterparty who agrees to assume the obligations of the</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Seller hereunder or, if no such substitute Seller is reasonably available, return such Recycled</w:t>
            </w:r>
          </w:p>
        </w:tc>
      </w:tr>
      <w:tr>
        <w:trPr>
          <w:trHeight w:val="234"/>
        </w:trPr>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to Counterparty.</w:t>
            </w:r>
          </w:p>
        </w:tc>
      </w:tr>
      <w:tr>
        <w:trPr>
          <w:trHeight w:val="414"/>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Date</w:t>
            </w: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Seller will retain the Valuation Date Consideration from the Prepayment Amount.</w:t>
            </w:r>
          </w:p>
        </w:tc>
      </w:tr>
      <w:tr>
        <w:trPr>
          <w:trHeight w:val="234"/>
        </w:trPr>
        <w:tc>
          <w:tcPr>
            <w:tcW w:w="13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200" w:type="dxa"/>
            <w:vAlign w:val="bottom"/>
          </w:tcPr>
          <w:p>
            <w:pPr>
              <w:spacing w:after="0"/>
              <w:rPr>
                <w:sz w:val="20"/>
                <w:szCs w:val="20"/>
                <w:color w:val="auto"/>
              </w:rPr>
            </w:pPr>
          </w:p>
        </w:tc>
        <w:tc>
          <w:tcPr>
            <w:tcW w:w="7980" w:type="dxa"/>
            <w:vAlign w:val="bottom"/>
          </w:tcPr>
          <w:p>
            <w:pPr>
              <w:spacing w:after="0"/>
              <w:rPr>
                <w:sz w:val="20"/>
                <w:szCs w:val="20"/>
                <w:color w:val="auto"/>
              </w:rPr>
            </w:pPr>
          </w:p>
        </w:tc>
      </w:tr>
      <w:tr>
        <w:trPr>
          <w:trHeight w:val="391"/>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Share Adjustments:</w:t>
            </w:r>
          </w:p>
        </w:tc>
        <w:tc>
          <w:tcPr>
            <w:tcW w:w="20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434"/>
        </w:trPr>
        <w:tc>
          <w:tcPr>
            <w:tcW w:w="1320" w:type="dxa"/>
            <w:vAlign w:val="bottom"/>
          </w:tcPr>
          <w:p>
            <w:pPr>
              <w:spacing w:after="0"/>
              <w:rPr>
                <w:sz w:val="24"/>
                <w:szCs w:val="24"/>
                <w:color w:val="auto"/>
              </w:rPr>
            </w:pP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Method of</w:t>
            </w:r>
          </w:p>
        </w:tc>
        <w:tc>
          <w:tcPr>
            <w:tcW w:w="20" w:type="dxa"/>
            <w:vAlign w:val="bottom"/>
          </w:tcPr>
          <w:p>
            <w:pPr>
              <w:spacing w:after="0"/>
              <w:rPr>
                <w:sz w:val="24"/>
                <w:szCs w:val="24"/>
                <w:color w:val="auto"/>
              </w:rPr>
            </w:pP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234"/>
        </w:trPr>
        <w:tc>
          <w:tcPr>
            <w:tcW w:w="13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0"/>
                <w:szCs w:val="20"/>
                <w:color w:val="auto"/>
              </w:rPr>
            </w:pPr>
          </w:p>
        </w:tc>
        <w:tc>
          <w:tcPr>
            <w:tcW w:w="7980" w:type="dxa"/>
            <w:vAlign w:val="bottom"/>
          </w:tcPr>
          <w:p>
            <w:pPr>
              <w:spacing w:after="0"/>
              <w:rPr>
                <w:sz w:val="20"/>
                <w:szCs w:val="20"/>
                <w:color w:val="auto"/>
              </w:rPr>
            </w:pPr>
          </w:p>
        </w:tc>
      </w:tr>
      <w:tr>
        <w:trPr>
          <w:trHeight w:val="391"/>
        </w:trPr>
        <w:tc>
          <w:tcPr>
            <w:tcW w:w="1320" w:type="dxa"/>
            <w:vAlign w:val="bottom"/>
          </w:tcPr>
          <w:p>
            <w:pPr>
              <w:spacing w:after="0"/>
              <w:rPr>
                <w:sz w:val="24"/>
                <w:szCs w:val="24"/>
                <w:color w:val="auto"/>
              </w:rPr>
            </w:pPr>
          </w:p>
        </w:tc>
        <w:tc>
          <w:tcPr>
            <w:tcW w:w="1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Extraordinary Events:</w:t>
            </w:r>
          </w:p>
        </w:tc>
        <w:tc>
          <w:tcPr>
            <w:tcW w:w="7980" w:type="dxa"/>
            <w:vAlign w:val="bottom"/>
          </w:tcPr>
          <w:p>
            <w:pPr>
              <w:spacing w:after="0"/>
              <w:rPr>
                <w:sz w:val="24"/>
                <w:szCs w:val="24"/>
                <w:color w:val="auto"/>
              </w:rPr>
            </w:pPr>
          </w:p>
        </w:tc>
      </w:tr>
      <w:tr>
        <w:trPr>
          <w:trHeight w:val="453"/>
        </w:trPr>
        <w:tc>
          <w:tcPr>
            <w:tcW w:w="1320" w:type="dxa"/>
            <w:vAlign w:val="bottom"/>
          </w:tcPr>
          <w:p>
            <w:pPr>
              <w:spacing w:after="0"/>
              <w:rPr>
                <w:sz w:val="24"/>
                <w:szCs w:val="24"/>
                <w:color w:val="auto"/>
              </w:rPr>
            </w:pPr>
          </w:p>
        </w:tc>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Consequences of Merger Events involving Counterparty:</w:t>
            </w:r>
          </w:p>
        </w:tc>
      </w:tr>
      <w:tr>
        <w:trPr>
          <w:trHeight w:val="432"/>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Share-for-Share:</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32"/>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Share-for-Other:</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Cancellation and Payment.</w:t>
            </w:r>
          </w:p>
        </w:tc>
      </w:tr>
      <w:tr>
        <w:trPr>
          <w:trHeight w:val="414"/>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Share-for-</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Component Adjustment.</w:t>
            </w:r>
          </w:p>
        </w:tc>
      </w:tr>
      <w:tr>
        <w:trPr>
          <w:trHeight w:val="234"/>
        </w:trPr>
        <w:tc>
          <w:tcPr>
            <w:tcW w:w="13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w:t>
            </w:r>
          </w:p>
        </w:tc>
        <w:tc>
          <w:tcPr>
            <w:tcW w:w="200" w:type="dxa"/>
            <w:vAlign w:val="bottom"/>
          </w:tcPr>
          <w:p>
            <w:pPr>
              <w:spacing w:after="0"/>
              <w:rPr>
                <w:sz w:val="20"/>
                <w:szCs w:val="20"/>
                <w:color w:val="auto"/>
              </w:rPr>
            </w:pPr>
          </w:p>
        </w:tc>
        <w:tc>
          <w:tcPr>
            <w:tcW w:w="7980" w:type="dxa"/>
            <w:vAlign w:val="bottom"/>
          </w:tcPr>
          <w:p>
            <w:pPr>
              <w:spacing w:after="0"/>
              <w:rPr>
                <w:sz w:val="20"/>
                <w:szCs w:val="20"/>
                <w:color w:val="auto"/>
              </w:rPr>
            </w:pPr>
          </w:p>
        </w:tc>
      </w:tr>
      <w:tr>
        <w:trPr>
          <w:trHeight w:val="414"/>
        </w:trPr>
        <w:tc>
          <w:tcPr>
            <w:tcW w:w="13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Tender Offer:</w:t>
            </w: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Section 12.1(d) of the Equity Definitions is hereby</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amended by adding “, or of the outstanding Shares,” before “of the Issuer” in the fourth line</w:t>
            </w:r>
          </w:p>
        </w:tc>
      </w:tr>
      <w:tr>
        <w:trPr>
          <w:trHeight w:val="216"/>
        </w:trPr>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thereof. Sections 12.1(e) and 12.1(l)(ii) of the Equity Definitions are hereby amended by</w:t>
            </w:r>
          </w:p>
        </w:tc>
      </w:tr>
      <w:tr>
        <w:trPr>
          <w:trHeight w:val="234"/>
        </w:trPr>
        <w:tc>
          <w:tcPr>
            <w:tcW w:w="1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adding “or Shares, as applicable,” after “voting Shares”.</w:t>
            </w:r>
          </w:p>
        </w:tc>
      </w:tr>
      <w:tr>
        <w:trPr>
          <w:trHeight w:val="1627"/>
        </w:trPr>
        <w:tc>
          <w:tcPr>
            <w:tcW w:w="1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7" w:right="439"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7"/>
          <w:szCs w:val="17"/>
          <w:b w:val="1"/>
          <w:bCs w:val="1"/>
          <w:u w:val="single" w:color="auto"/>
          <w:color w:val="auto"/>
        </w:rPr>
        <w:t>Consequences of Tender Offers:</w:t>
      </w:r>
    </w:p>
    <w:p>
      <w:pPr>
        <w:sectPr>
          <w:pgSz w:w="11900" w:h="16838" w:orient="portrait"/>
          <w:cols w:equalWidth="0" w:num="1">
            <w:col w:w="9019"/>
          </w:cols>
          <w:pgMar w:left="1440" w:top="1413" w:right="1440" w:bottom="1440" w:gutter="0" w:footer="0" w:header="0"/>
        </w:sect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Share-for-Share: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Agent Adjustment.</w:t>
      </w:r>
    </w:p>
    <w:p>
      <w:pPr>
        <w:spacing w:after="0" w:line="200" w:lineRule="exact"/>
        <w:rPr>
          <w:sz w:val="20"/>
          <w:szCs w:val="20"/>
          <w:color w:val="auto"/>
        </w:rPr>
      </w:pPr>
    </w:p>
    <w:p>
      <w:pPr>
        <w:sectPr>
          <w:pgSz w:w="11900" w:h="16838" w:orient="portrait"/>
          <w:cols w:equalWidth="0" w:num="2">
            <w:col w:w="1500" w:space="400"/>
            <w:col w:w="7119"/>
          </w:cols>
          <w:pgMar w:left="1440" w:top="1413" w:right="1440"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Share-for-Other: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Agent Adjustment.</w:t>
      </w:r>
    </w:p>
    <w:p>
      <w:pPr>
        <w:spacing w:after="0" w:line="200" w:lineRule="exact"/>
        <w:rPr>
          <w:sz w:val="20"/>
          <w:szCs w:val="20"/>
          <w:color w:val="auto"/>
        </w:rPr>
      </w:pPr>
    </w:p>
    <w:p>
      <w:pPr>
        <w:sectPr>
          <w:pgSz w:w="11900" w:h="16838" w:orient="portrait"/>
          <w:cols w:equalWidth="0" w:num="2">
            <w:col w:w="1500" w:space="400"/>
            <w:col w:w="7119"/>
          </w:cols>
          <w:pgMar w:left="1440" w:top="1413" w:right="1440"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Combined: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Calculation Agent Adjustment.</w:t>
      </w:r>
    </w:p>
    <w:p>
      <w:pPr>
        <w:spacing w:after="0" w:line="434" w:lineRule="exact"/>
        <w:rPr>
          <w:sz w:val="20"/>
          <w:szCs w:val="20"/>
          <w:color w:val="auto"/>
        </w:rPr>
      </w:pPr>
    </w:p>
    <w:p>
      <w:pPr>
        <w:sectPr>
          <w:pgSz w:w="11900" w:h="16838" w:orient="portrait"/>
          <w:cols w:equalWidth="0" w:num="2">
            <w:col w:w="1180" w:space="720"/>
            <w:col w:w="7119"/>
          </w:cols>
          <w:pgMar w:left="1440" w:top="1413" w:right="1440"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Composition of Combined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668" w:lineRule="exact"/>
        <w:rPr>
          <w:sz w:val="20"/>
          <w:szCs w:val="20"/>
          <w:color w:val="auto"/>
        </w:rPr>
      </w:pPr>
    </w:p>
    <w:p>
      <w:pPr>
        <w:sectPr>
          <w:pgSz w:w="11900" w:h="16838" w:orient="portrait"/>
          <w:cols w:equalWidth="0" w:num="2">
            <w:col w:w="1420" w:space="480"/>
            <w:col w:w="7119"/>
          </w:cols>
          <w:pgMar w:left="1440" w:top="1413" w:right="1440" w:bottom="1440" w:gutter="0" w:footer="0" w:header="0"/>
          <w:type w:val="continuous"/>
        </w:sectPr>
      </w:pPr>
    </w:p>
    <w:p>
      <w:pPr>
        <w:ind w:left="300"/>
        <w:spacing w:after="0" w:line="289" w:lineRule="auto"/>
        <w:rPr>
          <w:sz w:val="20"/>
          <w:szCs w:val="20"/>
          <w:color w:val="auto"/>
        </w:rPr>
      </w:pPr>
      <w:r>
        <w:rPr>
          <w:rFonts w:ascii="Times New Roman" w:cs="Times New Roman" w:eastAsia="Times New Roman" w:hAnsi="Times New Roman"/>
          <w:sz w:val="17"/>
          <w:szCs w:val="17"/>
          <w:color w:val="auto"/>
        </w:rPr>
        <w:t>Nationalization, Insolvency or Delisting:</w:t>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Cancellation and Payment (Calculation Agent Determination); provided that in addition to the provisions of Section 12.6(a)(iii) of the Equity Definitions, it shall also constitute a Delisting if the Exchange is located in the United States and the Shares are not immediately re-listed, re-traded or re-quoted on any of the New York Stock Exchange, the Nasdaq Global Select Market, Nasdaq Capital Market or the Nasdaq Global Market (or their respective successors) or such other exchange or quotation system which, in the determination of the Calculation Agent, has liquidity comparable to the aforementioned exchanges; if the Shares are immediately re-listed, re-traded or re-quoted on any such exchange or quotation system, such exchange or quotation system shall be deemed to be the Exchange.</w:t>
      </w:r>
    </w:p>
    <w:p>
      <w:pPr>
        <w:spacing w:after="0" w:line="188" w:lineRule="exact"/>
        <w:rPr>
          <w:sz w:val="20"/>
          <w:szCs w:val="20"/>
          <w:color w:val="auto"/>
        </w:rPr>
      </w:pPr>
    </w:p>
    <w:p>
      <w:pPr>
        <w:sectPr>
          <w:pgSz w:w="11900" w:h="16838" w:orient="portrait"/>
          <w:cols w:equalWidth="0" w:num="2">
            <w:col w:w="1440" w:space="460"/>
            <w:col w:w="7119"/>
          </w:cols>
          <w:pgMar w:left="1440" w:top="141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Business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Combination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Exclusion:</w:t>
      </w:r>
    </w:p>
    <w:p>
      <w:pPr>
        <w:spacing w:after="0" w:line="20" w:lineRule="exact"/>
        <w:rPr>
          <w:sz w:val="20"/>
          <w:szCs w:val="20"/>
          <w:color w:val="auto"/>
        </w:rPr>
      </w:pPr>
      <w:r>
        <w:rPr>
          <w:sz w:val="20"/>
          <w:szCs w:val="20"/>
          <w:color w:val="auto"/>
        </w:rPr>
        <w:br w:type="column"/>
      </w: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Notwithstanding the foregoing or any other provision herein, the parties agree that the Business Combination shall not constitute a Merger Event, Tender Offer, Delisting or any other Extraordinary Event hereunder.</w:t>
      </w:r>
    </w:p>
    <w:p>
      <w:pPr>
        <w:spacing w:after="0" w:line="172" w:lineRule="exact"/>
        <w:rPr>
          <w:sz w:val="20"/>
          <w:szCs w:val="20"/>
          <w:color w:val="auto"/>
        </w:rPr>
      </w:pPr>
    </w:p>
    <w:p>
      <w:pPr>
        <w:sectPr>
          <w:pgSz w:w="11900" w:h="16838" w:orient="portrait"/>
          <w:cols w:equalWidth="0" w:num="2">
            <w:col w:w="1240" w:space="660"/>
            <w:col w:w="7119"/>
          </w:cols>
          <w:pgMar w:left="1440" w:top="141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Disruption Events:</w:t>
      </w:r>
    </w:p>
    <w:p>
      <w:pPr>
        <w:spacing w:after="0" w:line="227" w:lineRule="exact"/>
        <w:rPr>
          <w:sz w:val="20"/>
          <w:szCs w:val="20"/>
          <w:color w:val="auto"/>
        </w:rPr>
      </w:pPr>
    </w:p>
    <w:p>
      <w:pPr>
        <w:ind w:left="1900" w:right="299" w:hanging="1608"/>
        <w:spacing w:after="0" w:line="261" w:lineRule="auto"/>
        <w:tabs>
          <w:tab w:leader="none" w:pos="5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in Law: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12.9(a)(ii) of the Equity Definitions is hereby amended by adding the words “(including, for the avoidance of doubt and without limitation, adoption or promulgation of new regulations authorized or mandated by existing statute)” after the word “regulation” in the second line thereof.</w:t>
      </w:r>
    </w:p>
    <w:p>
      <w:pPr>
        <w:sectPr>
          <w:pgSz w:w="11900" w:h="16838" w:orient="portrait"/>
          <w:cols w:equalWidth="0" w:num="1">
            <w:col w:w="9019"/>
          </w:cols>
          <w:pgMar w:left="1440" w:top="1413" w:right="1440" w:bottom="1440" w:gutter="0" w:footer="0" w:header="0"/>
          <w:type w:val="continuous"/>
        </w:sectPr>
      </w:pP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 Failure to</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Deliver: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45" w:lineRule="exact"/>
        <w:rPr>
          <w:sz w:val="20"/>
          <w:szCs w:val="20"/>
          <w:color w:val="auto"/>
        </w:rPr>
      </w:pPr>
    </w:p>
    <w:p>
      <w:pPr>
        <w:sectPr>
          <w:pgSz w:w="11900" w:h="16838" w:orient="portrait"/>
          <w:cols w:equalWidth="0" w:num="2">
            <w:col w:w="1240" w:space="660"/>
            <w:col w:w="7119"/>
          </w:cols>
          <w:pgMar w:left="1440" w:top="1413" w:right="1440" w:bottom="1440" w:gutter="0" w:footer="0" w:header="0"/>
          <w:type w:val="continuous"/>
        </w:sectPr>
      </w:pPr>
    </w:p>
    <w:p>
      <w:pPr>
        <w:spacing w:after="0" w:line="7" w:lineRule="exact"/>
        <w:rPr>
          <w:sz w:val="20"/>
          <w:szCs w:val="20"/>
          <w:color w:val="auto"/>
        </w:rPr>
      </w:pPr>
    </w:p>
    <w:p>
      <w:pPr>
        <w:ind w:left="300"/>
        <w:spacing w:after="0" w:line="312" w:lineRule="auto"/>
        <w:rPr>
          <w:sz w:val="20"/>
          <w:szCs w:val="20"/>
          <w:color w:val="auto"/>
        </w:rPr>
      </w:pPr>
      <w:r>
        <w:rPr>
          <w:rFonts w:ascii="Times New Roman" w:cs="Times New Roman" w:eastAsia="Times New Roman" w:hAnsi="Times New Roman"/>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441" w:lineRule="exact"/>
        <w:rPr>
          <w:sz w:val="20"/>
          <w:szCs w:val="20"/>
          <w:color w:val="auto"/>
        </w:rPr>
      </w:pPr>
    </w:p>
    <w:p>
      <w:pPr>
        <w:sectPr>
          <w:pgSz w:w="11900" w:h="16838" w:orient="portrait"/>
          <w:cols w:equalWidth="0" w:num="2">
            <w:col w:w="1320" w:space="580"/>
            <w:col w:w="7119"/>
          </w:cols>
          <w:pgMar w:left="1440" w:top="141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(d) Hedging</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45" w:lineRule="exact"/>
        <w:rPr>
          <w:sz w:val="20"/>
          <w:szCs w:val="20"/>
          <w:color w:val="auto"/>
        </w:rPr>
      </w:pPr>
    </w:p>
    <w:p>
      <w:pPr>
        <w:sectPr>
          <w:pgSz w:w="11900" w:h="16838" w:orient="portrait"/>
          <w:cols w:equalWidth="0" w:num="2">
            <w:col w:w="1180" w:space="720"/>
            <w:col w:w="7119"/>
          </w:cols>
          <w:pgMar w:left="1440" w:top="1413" w:right="1440" w:bottom="1440" w:gutter="0" w:footer="0" w:header="0"/>
          <w:type w:val="continuous"/>
        </w:sectPr>
      </w:pPr>
    </w:p>
    <w:p>
      <w:pPr>
        <w:spacing w:after="0" w:line="7" w:lineRule="exact"/>
        <w:rPr>
          <w:sz w:val="20"/>
          <w:szCs w:val="20"/>
          <w:color w:val="auto"/>
        </w:rPr>
      </w:pPr>
    </w:p>
    <w:p>
      <w:pPr>
        <w:ind w:left="300" w:right="5979" w:hanging="8"/>
        <w:spacing w:after="0" w:line="282" w:lineRule="auto"/>
        <w:tabs>
          <w:tab w:leader="none" w:pos="54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Not Applicable. Hedging:</w:t>
      </w:r>
    </w:p>
    <w:p>
      <w:pPr>
        <w:sectPr>
          <w:pgSz w:w="11900" w:h="16838" w:orient="portrait"/>
          <w:cols w:equalWidth="0" w:num="1">
            <w:col w:w="9019"/>
          </w:cols>
          <w:pgMar w:left="1440" w:top="1413" w:right="1440" w:bottom="1440" w:gutter="0" w:footer="0" w:header="0"/>
          <w:type w:val="continuous"/>
        </w:sectPr>
      </w:pPr>
    </w:p>
    <w:p>
      <w:pPr>
        <w:spacing w:after="0" w:line="16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(f) Loss of Stock Borrow:</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52" w:lineRule="exact"/>
        <w:rPr>
          <w:sz w:val="20"/>
          <w:szCs w:val="20"/>
          <w:color w:val="auto"/>
        </w:rPr>
      </w:pPr>
    </w:p>
    <w:p>
      <w:pPr>
        <w:sectPr>
          <w:pgSz w:w="11900" w:h="16838" w:orient="portrait"/>
          <w:cols w:equalWidth="0" w:num="2">
            <w:col w:w="1500" w:space="400"/>
            <w:col w:w="7119"/>
          </w:cols>
          <w:pgMar w:left="1440" w:top="1413" w:right="1440" w:bottom="1440" w:gutter="0" w:footer="0" w:header="0"/>
          <w:type w:val="continuous"/>
        </w:sectPr>
      </w:pPr>
    </w:p>
    <w:p>
      <w:pPr>
        <w:ind w:left="300" w:right="5979" w:hanging="8"/>
        <w:spacing w:after="0" w:line="282" w:lineRule="auto"/>
        <w:tabs>
          <w:tab w:leader="none" w:pos="5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Not Applicable. Stock Borrow: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993140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type w:val="continuous"/>
        </w:sectPr>
      </w:pPr>
    </w:p>
    <w:bookmarkStart w:id="98" w:name="page99"/>
    <w:bookmarkEnd w:id="98"/>
    <w:p>
      <w:pPr>
        <w:ind w:left="300"/>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For all applicable events, Seller, unless (i) an Event of Default, Potential Event of Default or Termination Event has occurred and is continuing with respect to Seller, or (ii) if Seller fails to perform its obligations as Determining Party, in which case a Third Party Dealer (as defined below) in the relevant market selected by Counterparty will be the Determining Party.</w:t>
      </w:r>
    </w:p>
    <w:p>
      <w:pPr>
        <w:spacing w:after="0" w:line="180" w:lineRule="exact"/>
        <w:rPr>
          <w:sz w:val="20"/>
          <w:szCs w:val="20"/>
          <w:color w:val="auto"/>
        </w:rPr>
      </w:pPr>
    </w:p>
    <w:p>
      <w:pPr>
        <w:sectPr>
          <w:pgSz w:w="11900" w:h="16838" w:orient="portrait"/>
          <w:cols w:equalWidth="0" w:num="2">
            <w:col w:w="1680" w:space="220"/>
            <w:col w:w="7119"/>
          </w:cols>
          <w:pgMar w:left="1440" w:top="1417" w:right="1440" w:bottom="1440" w:gutter="0" w:footer="0" w:header="0"/>
        </w:sect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Counterparty Share Notwithstanding anything to the contrary in this Confirmation or the Equity Definitions Settlement Election (including Sections 12.7 and 12.8 thereof), the Transaction shall not be cancelled and settled</w:t>
      </w:r>
    </w:p>
    <w:p>
      <w:pPr>
        <w:sectPr>
          <w:pgSz w:w="11900" w:h="16838" w:orient="portrait"/>
          <w:cols w:equalWidth="0" w:num="1">
            <w:col w:w="9019"/>
          </w:cols>
          <w:pgMar w:left="1440" w:top="1417" w:right="1440" w:bottom="1440" w:gutter="0" w:footer="0" w:header="0"/>
          <w:type w:val="continuous"/>
        </w:sectPr>
      </w:pPr>
    </w:p>
    <w:p>
      <w:pPr>
        <w:jc w:val="right"/>
        <w:ind w:left="300" w:right="299"/>
        <w:spacing w:after="0" w:line="250" w:lineRule="auto"/>
        <w:rPr>
          <w:sz w:val="20"/>
          <w:szCs w:val="20"/>
          <w:color w:val="auto"/>
        </w:rPr>
      </w:pPr>
      <w:r>
        <w:rPr>
          <w:rFonts w:ascii="Times New Roman" w:cs="Times New Roman" w:eastAsia="Times New Roman" w:hAnsi="Times New Roman"/>
          <w:sz w:val="18"/>
          <w:szCs w:val="18"/>
          <w:color w:val="auto"/>
        </w:rPr>
        <w:t>Provision (ASC 815- by payment of any Cancellation Amount or other net settlement payment obligation having 40-25 Compliance)   the effect of settling all obligations owed under this Transaction upon the occurrence of any Market Disruption Event, Termination Event, or any other event outside the control of Counterparty, other than the retention by the Seller of the Redemption Price per Share (less</w:t>
      </w:r>
    </w:p>
    <w:p>
      <w:pPr>
        <w:spacing w:after="0" w:line="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any amounts owed pursuant to a final non-appealable judgment).</w:t>
      </w:r>
    </w:p>
    <w:p>
      <w:pPr>
        <w:spacing w:after="0" w:line="2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the avoidance of doubt, no monetary amount other than the Redemption Price per Share (less indemnity or default payment owed, if any, pursuant to a final non-appealable judgment) shall be determined or owed by Counterparty in respect of the value of the Transaction (i.e., Cancellation Amount or similar concept), and the Transaction shall be settled solely through delivery of Shares by Seller to Counterparty and the retention by the Seller of the Redemption Price per Share (less any amounts owed, if any, pursuant to a final non-appealable judgment).</w:t>
      </w:r>
    </w:p>
    <w:p>
      <w:pPr>
        <w:spacing w:after="0" w:line="14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Nothing in this Confirmation shall be interpreted as absolving Counterparty of paying amounts owed hereunder; provided that any such amounts (including damages, indemnity payments, or interest) shall not be determined by reference to the value of the Transaction or the Shares and shall not serve as a substitute for settlement of the Transaction. Nothing in this Confirmation shall be interpreted as absolving Seller of delivering Shares as required under this Transaction.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Provisions:</w:t>
      </w:r>
    </w:p>
    <w:p>
      <w:pPr>
        <w:spacing w:after="0" w:line="229" w:lineRule="exact"/>
        <w:rPr>
          <w:sz w:val="20"/>
          <w:szCs w:val="20"/>
          <w:color w:val="auto"/>
        </w:rPr>
      </w:pPr>
    </w:p>
    <w:p>
      <w:pPr>
        <w:jc w:val="both"/>
        <w:ind w:left="1900" w:right="299" w:hanging="1605"/>
        <w:spacing w:after="0" w:line="261" w:lineRule="auto"/>
        <w:tabs>
          <w:tab w:leader="none" w:pos="1880" w:val="left"/>
        </w:tabs>
        <w:rPr>
          <w:sz w:val="20"/>
          <w:szCs w:val="20"/>
          <w:color w:val="auto"/>
        </w:rPr>
      </w:pPr>
      <w:r>
        <w:rPr>
          <w:rFonts w:ascii="Times New Roman" w:cs="Times New Roman" w:eastAsia="Times New Roman" w:hAnsi="Times New Roman"/>
          <w:sz w:val="18"/>
          <w:szCs w:val="18"/>
          <w:color w:val="auto"/>
        </w:rPr>
        <w:t>Calculation Agent:</w:t>
        <w:tab/>
        <w:t>Seller, unless (i) an Event of Default, Potential Event of Default or Additional Termination Event has occurred and is continuing with respect to Seller, or (ii) if Seller fails to perform its obligations as Calculation Agent, in which case an unaffiliated leading dealer in the relevant market selected by Counterparty in its sole discretion will be the Calculation Agent.</w:t>
      </w:r>
    </w:p>
    <w:p>
      <w:pPr>
        <w:spacing w:after="0" w:line="176" w:lineRule="exact"/>
        <w:rPr>
          <w:sz w:val="20"/>
          <w:szCs w:val="20"/>
          <w:color w:val="auto"/>
        </w:rPr>
      </w:pPr>
    </w:p>
    <w:p>
      <w:pPr>
        <w:jc w:val="both"/>
        <w:ind w:left="1900" w:right="299"/>
        <w:spacing w:after="0" w:line="252" w:lineRule="auto"/>
        <w:rPr>
          <w:sz w:val="20"/>
          <w:szCs w:val="20"/>
          <w:color w:val="auto"/>
        </w:rPr>
      </w:pPr>
      <w:r>
        <w:rPr>
          <w:rFonts w:ascii="Times New Roman" w:cs="Times New Roman" w:eastAsia="Times New Roman" w:hAnsi="Times New Roman"/>
          <w:sz w:val="18"/>
          <w:szCs w:val="18"/>
          <w:color w:val="auto"/>
        </w:rPr>
        <w:t>In the event that a party (the “</w:t>
      </w:r>
      <w:r>
        <w:rPr>
          <w:rFonts w:ascii="Times New Roman" w:cs="Times New Roman" w:eastAsia="Times New Roman" w:hAnsi="Times New Roman"/>
          <w:sz w:val="18"/>
          <w:szCs w:val="18"/>
          <w:b w:val="1"/>
          <w:bCs w:val="1"/>
          <w:color w:val="auto"/>
        </w:rPr>
        <w:t>Disputing Party</w:t>
      </w:r>
      <w:r>
        <w:rPr>
          <w:rFonts w:ascii="Times New Roman" w:cs="Times New Roman" w:eastAsia="Times New Roman" w:hAnsi="Times New Roman"/>
          <w:sz w:val="18"/>
          <w:szCs w:val="18"/>
          <w:color w:val="auto"/>
        </w:rPr>
        <w:t>”) does not agree with any determination made (or the failure to make any determination) by the Calculation Agent, the Disputing Party shall have the right to require that the Calculation Agent have such determination reviewed by a disinterested third party that is a dealer in derivatives of the type that is the subject of the dispute and that is not an Affiliate of either party (a “</w:t>
      </w:r>
      <w:r>
        <w:rPr>
          <w:rFonts w:ascii="Times New Roman" w:cs="Times New Roman" w:eastAsia="Times New Roman" w:hAnsi="Times New Roman"/>
          <w:sz w:val="18"/>
          <w:szCs w:val="18"/>
          <w:b w:val="1"/>
          <w:bCs w:val="1"/>
          <w:color w:val="auto"/>
        </w:rPr>
        <w:t>Third Party Dealer</w:t>
      </w:r>
      <w:r>
        <w:rPr>
          <w:rFonts w:ascii="Times New Roman" w:cs="Times New Roman" w:eastAsia="Times New Roman" w:hAnsi="Times New Roman"/>
          <w:sz w:val="18"/>
          <w:szCs w:val="18"/>
          <w:color w:val="auto"/>
        </w:rPr>
        <w:t>”). Such Third Party Dealer shall be jointly selected by the parties within one (1) Business Day after the Disputing Party’s exercise of its rights hereunder (once selected, such Third Party Dealer shall be the “</w:t>
      </w:r>
      <w:r>
        <w:rPr>
          <w:rFonts w:ascii="Times New Roman" w:cs="Times New Roman" w:eastAsia="Times New Roman" w:hAnsi="Times New Roman"/>
          <w:sz w:val="18"/>
          <w:szCs w:val="18"/>
          <w:b w:val="1"/>
          <w:bCs w:val="1"/>
          <w:color w:val="auto"/>
        </w:rPr>
        <w:t>Substitute Calculation Agent</w:t>
      </w:r>
      <w:r>
        <w:rPr>
          <w:rFonts w:ascii="Times New Roman" w:cs="Times New Roman" w:eastAsia="Times New Roman" w:hAnsi="Times New Roman"/>
          <w:sz w:val="18"/>
          <w:szCs w:val="18"/>
          <w:color w:val="auto"/>
        </w:rPr>
        <w:t>”). If the parties are unable to agree on a Substitute Calculation Agent within the prescribed time, each of the parties shall elect a Third Party Dealer and such two dealers shall agree on a Third Party Dealer by the end of the subsequent Business Day. Such Third Party Dealer shall be deemed to be the Substitute Calculation Agent. Any exercise by the Disputing Party of its rights hereunder must be in writing and shall be delivered to the Calculation Agent not later than the third Business Day following the Business Day on which the Calculation Agent notifies the Disputing Party of any determination made (or of the failure to make any determination). Any determination by the Substitute Calculation Agent shall be binding in the absence of manifest error and shall be made as soon as possible but no later than the second Business Day following the Substitute Calculation Agent’s appointment. The costs of such Substitute Calculation Agent shall be borne by (a) the Disputing Party if the Substitute Calculation Agent substantially agrees with the Calculation Agent or (b) the non- Disputing Party if the Substitute Calculation Agent does not substantially agree with the Calculation Agent. If, after following the procedures and within the specified time frames set forth above, a binding determination is not achieved, the original determination of the Calculation Agent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873760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99" w:name="page100"/>
    <w:bookmarkEnd w:id="99"/>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Non-Reliance:</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w:t>
            </w:r>
          </w:p>
        </w:tc>
        <w:tc>
          <w:tcPr>
            <w:tcW w:w="26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Agreements and</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w:t>
            </w:r>
          </w:p>
        </w:tc>
        <w:tc>
          <w:tcPr>
            <w:tcW w:w="2600" w:type="dxa"/>
            <w:vAlign w:val="bottom"/>
          </w:tcPr>
          <w:p>
            <w:pPr>
              <w:spacing w:after="0"/>
              <w:rPr>
                <w:sz w:val="24"/>
                <w:szCs w:val="24"/>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Acknowledgements</w:t>
            </w:r>
          </w:p>
        </w:tc>
        <w:tc>
          <w:tcPr>
            <w:tcW w:w="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Regarding Hedging</w:t>
            </w:r>
          </w:p>
        </w:tc>
        <w:tc>
          <w:tcPr>
            <w:tcW w:w="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Activities:</w:t>
            </w:r>
          </w:p>
        </w:tc>
        <w:tc>
          <w:tcPr>
            <w:tcW w:w="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w:t>
            </w:r>
          </w:p>
        </w:tc>
        <w:tc>
          <w:tcPr>
            <w:tcW w:w="2600" w:type="dxa"/>
            <w:vAlign w:val="bottom"/>
          </w:tcPr>
          <w:p>
            <w:pPr>
              <w:spacing w:after="0"/>
              <w:rPr>
                <w:sz w:val="24"/>
                <w:szCs w:val="24"/>
                <w:color w:val="auto"/>
              </w:rPr>
            </w:pP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Acknowledgements:</w:t>
            </w:r>
          </w:p>
        </w:tc>
        <w:tc>
          <w:tcPr>
            <w:tcW w:w="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39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Collateral Provisions:</w:t>
            </w:r>
          </w:p>
        </w:tc>
        <w:tc>
          <w:tcPr>
            <w:tcW w:w="2600" w:type="dxa"/>
            <w:vAlign w:val="bottom"/>
          </w:tcPr>
          <w:p>
            <w:pPr>
              <w:spacing w:after="0"/>
              <w:rPr>
                <w:sz w:val="24"/>
                <w:szCs w:val="24"/>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53"/>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Grant of Security Interest:</w:t>
            </w:r>
          </w:p>
        </w:tc>
        <w:tc>
          <w:tcPr>
            <w:tcW w:w="2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Account:</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Intermediary:</w:t>
            </w:r>
          </w:p>
        </w:tc>
        <w:tc>
          <w:tcPr>
            <w:tcW w:w="2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43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Perfection:</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392"/>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Schedule Provisions:</w:t>
            </w:r>
          </w:p>
        </w:tc>
        <w:tc>
          <w:tcPr>
            <w:tcW w:w="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434"/>
        </w:trPr>
        <w:tc>
          <w:tcPr>
            <w:tcW w:w="1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Specified Entity:</w:t>
            </w:r>
          </w:p>
        </w:tc>
        <w:tc>
          <w:tcPr>
            <w:tcW w:w="2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relation to both Seller and Counterparty for the purpose of: Section 5(a)(v) of the ISDA</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Not Applicable; Section 5(a)(vi) of the ISDA Form, Not Applicable; Section 5(a)(vii)</w:t>
            </w:r>
          </w:p>
        </w:tc>
      </w:tr>
      <w:tr>
        <w:trPr>
          <w:trHeight w:val="234"/>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the ISDA Form, Not Applicable; Section 5(b)(v) of the ISDA Form, Not Applicable</w:t>
            </w: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Cross-Default</w:t>
            </w: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“Cross-Default” provisions of Section 5(a)(vi) of the ISDA Form will not apply to either</w:t>
            </w:r>
          </w:p>
        </w:tc>
      </w:tr>
      <w:tr>
        <w:trPr>
          <w:trHeight w:val="234"/>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26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Event Upon</w:t>
            </w: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“Credit Event Upon Merger” provisions of Section 5(b)(v) of the ISDA Form will not</w:t>
            </w: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 to either party.</w:t>
            </w:r>
          </w:p>
        </w:tc>
        <w:tc>
          <w:tcPr>
            <w:tcW w:w="2600" w:type="dxa"/>
            <w:vAlign w:val="bottom"/>
          </w:tcPr>
          <w:p>
            <w:pPr>
              <w:spacing w:after="0"/>
              <w:rPr>
                <w:sz w:val="20"/>
                <w:szCs w:val="20"/>
                <w:color w:val="auto"/>
              </w:rPr>
            </w:pPr>
          </w:p>
        </w:tc>
      </w:tr>
      <w:tr>
        <w:trPr>
          <w:trHeight w:val="630"/>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Automatic Early</w:t>
            </w: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“Automatic Early Termination” of Section 6(a) of the ISDA Form will not apply to either</w:t>
            </w: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26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Dollars.</w:t>
            </w:r>
          </w:p>
        </w:tc>
        <w:tc>
          <w:tcPr>
            <w:tcW w:w="2600" w:type="dxa"/>
            <w:vAlign w:val="bottom"/>
          </w:tcPr>
          <w:p>
            <w:pPr>
              <w:spacing w:after="0"/>
              <w:rPr>
                <w:sz w:val="24"/>
                <w:szCs w:val="24"/>
                <w:color w:val="auto"/>
              </w:rPr>
            </w:pP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w:t>
            </w:r>
          </w:p>
        </w:tc>
        <w:tc>
          <w:tcPr>
            <w:tcW w:w="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600" w:type="dxa"/>
            <w:vAlign w:val="bottom"/>
          </w:tcPr>
          <w:p>
            <w:pPr>
              <w:spacing w:after="0"/>
              <w:rPr>
                <w:sz w:val="20"/>
                <w:szCs w:val="20"/>
                <w:color w:val="auto"/>
              </w:rPr>
            </w:pPr>
          </w:p>
        </w:tc>
      </w:tr>
      <w:tr>
        <w:trPr>
          <w:trHeight w:val="41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w:t>
            </w:r>
          </w:p>
        </w:tc>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 apply to Seller and to Counterparty. The occurrence of any of the following events shall</w:t>
            </w:r>
          </w:p>
        </w:tc>
      </w:t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Event:</w:t>
            </w: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constitute an Additional Termination Event:</w:t>
            </w:r>
          </w:p>
        </w:tc>
        <w:tc>
          <w:tcPr>
            <w:tcW w:w="2600" w:type="dxa"/>
            <w:vAlign w:val="bottom"/>
          </w:tcPr>
          <w:p>
            <w:pPr>
              <w:spacing w:after="0"/>
              <w:rPr>
                <w:sz w:val="20"/>
                <w:szCs w:val="20"/>
                <w:color w:val="auto"/>
              </w:rPr>
            </w:pPr>
          </w:p>
        </w:tc>
      </w:tr>
    </w:tbl>
    <w:p>
      <w:pPr>
        <w:spacing w:after="0" w:line="19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(a) The Merger Agreement is terminated prior to the closing of the Business Combination; and</w:t>
      </w:r>
    </w:p>
    <w:p>
      <w:pPr>
        <w:spacing w:after="0" w:line="225" w:lineRule="exact"/>
        <w:rPr>
          <w:sz w:val="20"/>
          <w:szCs w:val="20"/>
          <w:color w:val="auto"/>
        </w:rPr>
      </w:pPr>
    </w:p>
    <w:p>
      <w:pPr>
        <w:jc w:val="both"/>
        <w:ind w:left="1900" w:right="299"/>
        <w:spacing w:after="0" w:line="266" w:lineRule="auto"/>
        <w:rPr>
          <w:sz w:val="20"/>
          <w:szCs w:val="20"/>
          <w:color w:val="auto"/>
        </w:rPr>
      </w:pPr>
      <w:r>
        <w:rPr>
          <w:rFonts w:ascii="Times New Roman" w:cs="Times New Roman" w:eastAsia="Times New Roman" w:hAnsi="Times New Roman"/>
          <w:sz w:val="18"/>
          <w:szCs w:val="18"/>
          <w:color w:val="auto"/>
        </w:rPr>
        <w:t>(b) If it is, or, as a consequence of a change in law, regulation or interpretation, it becomes or will become, unlawful for the Seller or Counterparty to perform any of its obligations contemplated by the Transaction; and</w:t>
      </w:r>
    </w:p>
    <w:p>
      <w:pPr>
        <w:spacing w:after="0" w:line="17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 Upon the occurrence of any Material Adverse Change of the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1033145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Notwithstanding the foregoing, Counterparty’s obligations set forth under the caption,</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Legal Fees and Other Expenses” and both parties’ obligations under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caption “Other Provisions — (d) Indemnification” shall survive any termination due to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occurrence of any of the foregoing Additional Termination Events. Upon any termination that</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occurs following the closing of the Business Combination due to paragraph (b) or (c) above,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Counterparty shall be obligated to promptly accept for redemption all of Seller’s Shares (up to</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in exchange for the Initial Price, less any Prepayment Amount actually</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received. Except as set forth in the immediately preceding sentence, in all other circumstances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further payments or deliveries shall be due by either Seller to Counterparty or Counterparty</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Seller in respect of the Transaction, including without limitation in respect of any</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amount, breakage costs or any amounts representing the future value of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neither party shall have any further obligation under the Transaction and, for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avoidance of doubt and without limitation, no payments will have accrued or be due under</w:t>
            </w:r>
          </w:p>
        </w:tc>
      </w:tr>
      <w:tr>
        <w:trPr>
          <w:trHeight w:val="234"/>
        </w:trPr>
        <w:tc>
          <w:tcPr>
            <w:tcW w:w="2740" w:type="dxa"/>
            <w:vAlign w:val="bottom"/>
          </w:tcPr>
          <w:p>
            <w:pPr>
              <w:spacing w:after="0"/>
              <w:rPr>
                <w:sz w:val="20"/>
                <w:szCs w:val="20"/>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Sections 2, 6 or 11 of the ISDA Form.</w:t>
            </w:r>
          </w:p>
        </w:tc>
      </w:tr>
      <w:tr>
        <w:trPr>
          <w:trHeight w:val="630"/>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Material Adverse</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Means any change, event, or occurrence, that, individually or when aggregated with other</w:t>
            </w:r>
          </w:p>
        </w:tc>
      </w:tr>
      <w:tr>
        <w:trPr>
          <w:trHeight w:val="216"/>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Change:</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events, or occurrences has had a materially adverse effect on the business, assets,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condition or results of operations of Counterparty and its subsidiaries, taken as a</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 provided, however, that no change, event, occurrence or effect arising out of or related</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any of the following, alone or in combination, shall be taken into account in determining</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whether a Material Adverse Change pursuant has occurred: (i) acts of war (whether or not</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declared), sabotage, military or para-military actions or terrorism, or any escalation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worsening of any such acts, or changes in global, national or regional political or social</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(ii) earthquakes, hurricanes, tornados, epidemics and pandemics declared by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World Health Organization or any other reputable third party organization (including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COVID-19 virus) or other natural or man-made disasters; (iii) changes attributable to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announcement or pendency of the transactions contemplated herein (including the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thereof on relationships with customers, suppliers, employees or governmental</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authorities); (iv) changes or proposed changes in law, regulations or interpretations thereof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decisions by courts or any governmental authority; (v) changes or proposed changes in GAAP</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any interpretation thereof); (vi) any downturn in general economic conditions, including</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the credit, debt, securities, financial, capital or reinsurance markets (including</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interest or exchange rates or the price of any security, market index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in each case, in the United States or anywhere else in the world; (vii) events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generally affecting the industries and markets in which the Counterparty operates;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(viii) any failure to meet any projections, forecasts, estimates, budgets or financial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predictions of revenue, earnings, cash flow or cash position, provided that this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clause (viii) shall not prevent a determination that any change, event, or occurrence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underlying such failure (unless otherwise excluded by the other clauses of this proviso) has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resulted in a Material Adverse Change; or (ix) any actions expressly required to be taken, or</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expressly required not to be taken, pursuant to the terms hereof; provided, however, that if a</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or effect related to clause (ii) or clauses (iv) through (vii) disproportionately adversely</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affects the Counterparty and its subsidiaries, taken as a whole, compared to other Persons</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 the same industry as the Counterparty, then such incremental disproportionate</w:t>
            </w:r>
          </w:p>
        </w:tc>
      </w:tr>
      <w:tr>
        <w:trPr>
          <w:trHeight w:val="216"/>
        </w:trPr>
        <w:tc>
          <w:tcPr>
            <w:tcW w:w="274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may be taken into account in determining whether a Material Adverse Change has</w:t>
            </w:r>
          </w:p>
        </w:tc>
      </w:tr>
      <w:tr>
        <w:trPr>
          <w:trHeight w:val="234"/>
        </w:trPr>
        <w:tc>
          <w:tcPr>
            <w:tcW w:w="2740" w:type="dxa"/>
            <w:vAlign w:val="bottom"/>
          </w:tcPr>
          <w:p>
            <w:pPr>
              <w:spacing w:after="0"/>
              <w:rPr>
                <w:sz w:val="20"/>
                <w:szCs w:val="20"/>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occurred.</w:t>
            </w:r>
          </w:p>
        </w:tc>
      </w:tr>
      <w:tr>
        <w:trPr>
          <w:trHeight w:val="414"/>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Governing Law:</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 law (without reference to choice of law doctrine other than Sections 5-1401 and 5-</w:t>
            </w:r>
          </w:p>
        </w:tc>
      </w:tr>
      <w:tr>
        <w:trPr>
          <w:trHeight w:val="234"/>
        </w:trPr>
        <w:tc>
          <w:tcPr>
            <w:tcW w:w="2740" w:type="dxa"/>
            <w:vAlign w:val="bottom"/>
          </w:tcPr>
          <w:p>
            <w:pPr>
              <w:spacing w:after="0"/>
              <w:rPr>
                <w:sz w:val="20"/>
                <w:szCs w:val="20"/>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1402 of the General Obligations Law).</w:t>
            </w:r>
          </w:p>
        </w:tc>
      </w:tr>
      <w:tr>
        <w:trPr>
          <w:trHeight w:val="414"/>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Credit Support</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respect to Seller and Counterparty, None.</w:t>
            </w:r>
          </w:p>
        </w:tc>
      </w:tr>
      <w:tr>
        <w:trPr>
          <w:trHeight w:val="234"/>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Document:</w:t>
            </w:r>
          </w:p>
        </w:tc>
        <w:tc>
          <w:tcPr>
            <w:tcW w:w="8300" w:type="dxa"/>
            <w:vAlign w:val="bottom"/>
          </w:tcPr>
          <w:p>
            <w:pPr>
              <w:spacing w:after="0"/>
              <w:rPr>
                <w:sz w:val="20"/>
                <w:szCs w:val="20"/>
                <w:color w:val="auto"/>
              </w:rPr>
            </w:pPr>
          </w:p>
        </w:tc>
      </w:tr>
      <w:tr>
        <w:trPr>
          <w:trHeight w:val="414"/>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Credit Support</w:t>
            </w: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respect to Seller and Counterparty, None.</w:t>
            </w:r>
          </w:p>
        </w:tc>
      </w:tr>
      <w:tr>
        <w:trPr>
          <w:trHeight w:val="234"/>
        </w:trPr>
        <w:tc>
          <w:tcPr>
            <w:tcW w:w="27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Provider:</w:t>
            </w:r>
          </w:p>
        </w:tc>
        <w:tc>
          <w:tcPr>
            <w:tcW w:w="8300" w:type="dxa"/>
            <w:vAlign w:val="bottom"/>
          </w:tcPr>
          <w:p>
            <w:pPr>
              <w:spacing w:after="0"/>
              <w:rPr>
                <w:sz w:val="20"/>
                <w:szCs w:val="20"/>
                <w:color w:val="auto"/>
              </w:rPr>
            </w:pPr>
          </w:p>
        </w:tc>
      </w:tr>
      <w:tr>
        <w:trPr>
          <w:trHeight w:val="1627"/>
        </w:trPr>
        <w:tc>
          <w:tcPr>
            <w:tcW w:w="27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7" w:right="439" w:bottom="1095" w:gutter="0" w:footer="0" w:header="0"/>
        </w:sectPr>
      </w:pPr>
    </w:p>
    <w:bookmarkStart w:id="101" w:name="page102"/>
    <w:bookmarkEnd w:id="101"/>
    <w:p>
      <w:pPr>
        <w:ind w:left="300"/>
        <w:spacing w:after="0" w:line="312" w:lineRule="auto"/>
        <w:rPr>
          <w:sz w:val="20"/>
          <w:szCs w:val="20"/>
          <w:color w:val="auto"/>
        </w:rPr>
      </w:pPr>
      <w:r>
        <w:rPr>
          <w:rFonts w:ascii="Times New Roman" w:cs="Times New Roman" w:eastAsia="Times New Roman" w:hAnsi="Times New Roman"/>
          <w:sz w:val="17"/>
          <w:szCs w:val="17"/>
          <w:color w:val="auto"/>
        </w:rPr>
        <w:t>Local Business Days:</w:t>
      </w:r>
    </w:p>
    <w:p>
      <w:pPr>
        <w:spacing w:after="0" w:line="20" w:lineRule="exact"/>
        <w:rPr>
          <w:sz w:val="20"/>
          <w:szCs w:val="20"/>
          <w:color w:val="auto"/>
        </w:rPr>
      </w:pPr>
      <w:r>
        <w:rPr>
          <w:sz w:val="20"/>
          <w:szCs w:val="20"/>
          <w:color w:val="auto"/>
        </w:rPr>
        <w:br w:type="column"/>
      </w:r>
    </w:p>
    <w:p>
      <w:pPr>
        <w:ind w:right="319"/>
        <w:spacing w:after="0" w:line="282" w:lineRule="auto"/>
        <w:rPr>
          <w:sz w:val="20"/>
          <w:szCs w:val="20"/>
          <w:color w:val="auto"/>
        </w:rPr>
      </w:pPr>
      <w:r>
        <w:rPr>
          <w:rFonts w:ascii="Times New Roman" w:cs="Times New Roman" w:eastAsia="Times New Roman" w:hAnsi="Times New Roman"/>
          <w:sz w:val="18"/>
          <w:szCs w:val="18"/>
          <w:color w:val="auto"/>
        </w:rPr>
        <w:t>Seller specifies the following places for the purposes of the definition of Local Business Day as it applies to it: New York.</w:t>
      </w:r>
    </w:p>
    <w:p>
      <w:pPr>
        <w:spacing w:after="0" w:line="161" w:lineRule="exact"/>
        <w:rPr>
          <w:sz w:val="20"/>
          <w:szCs w:val="20"/>
          <w:color w:val="auto"/>
        </w:rPr>
      </w:pPr>
    </w:p>
    <w:p>
      <w:pPr>
        <w:sectPr>
          <w:pgSz w:w="11900" w:h="16838" w:orient="portrait"/>
          <w:cols w:equalWidth="0" w:num="2">
            <w:col w:w="1380" w:space="520"/>
            <w:col w:w="7119"/>
          </w:cols>
          <w:pgMar w:left="1440" w:top="1417" w:right="1440" w:bottom="1440" w:gutter="0" w:footer="0" w:header="0"/>
        </w:sectPr>
      </w:pPr>
    </w:p>
    <w:p>
      <w:pPr>
        <w:ind w:left="1900" w:right="319"/>
        <w:spacing w:after="0" w:line="282" w:lineRule="auto"/>
        <w:rPr>
          <w:sz w:val="20"/>
          <w:szCs w:val="20"/>
          <w:color w:val="auto"/>
        </w:rPr>
      </w:pPr>
      <w:r>
        <w:rPr>
          <w:rFonts w:ascii="Times New Roman" w:cs="Times New Roman" w:eastAsia="Times New Roman" w:hAnsi="Times New Roman"/>
          <w:sz w:val="18"/>
          <w:szCs w:val="18"/>
          <w:color w:val="auto"/>
        </w:rPr>
        <w:t>Counterparty specifies the following places for the purposes of the definition of Local Business Day as it applies to it: New York, New York, United States of America and Jersey.</w:t>
      </w:r>
    </w:p>
    <w:p>
      <w:pPr>
        <w:sectPr>
          <w:pgSz w:w="11900" w:h="16838" w:orient="portrait"/>
          <w:cols w:equalWidth="0" w:num="1">
            <w:col w:w="9019"/>
          </w:cols>
          <w:pgMar w:left="1440" w:top="1417" w:right="1440" w:bottom="1440" w:gutter="0" w:footer="0" w:header="0"/>
          <w:type w:val="continuous"/>
        </w:sectPr>
      </w:pP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Covenants</w:t>
      </w:r>
    </w:p>
    <w:p>
      <w:pPr>
        <w:spacing w:after="0" w:line="229" w:lineRule="exact"/>
        <w:rPr>
          <w:sz w:val="20"/>
          <w:szCs w:val="20"/>
          <w:color w:val="auto"/>
        </w:rPr>
      </w:pPr>
    </w:p>
    <w:p>
      <w:pPr>
        <w:jc w:val="both"/>
        <w:ind w:left="720" w:right="319" w:hanging="334"/>
        <w:spacing w:after="0" w:line="266" w:lineRule="auto"/>
        <w:tabs>
          <w:tab w:leader="none" w:pos="7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Counterparty and Seller represents and warrants to, and covenants and agrees with, the other as of the date on which it enters into the Transaction that (in the absence of any written agreement between the parties that expressly imposes affirmative obligations to the contrary for the Transaction):</w:t>
      </w:r>
    </w:p>
    <w:p>
      <w:pPr>
        <w:spacing w:after="0" w:line="174" w:lineRule="exact"/>
        <w:rPr>
          <w:sz w:val="20"/>
          <w:szCs w:val="20"/>
          <w:color w:val="auto"/>
        </w:rPr>
      </w:pPr>
    </w:p>
    <w:p>
      <w:pPr>
        <w:jc w:val="both"/>
        <w:ind w:left="720" w:right="299" w:hanging="334"/>
        <w:spacing w:after="0" w:line="255"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acting for its own account, and it has made its own independent decisions to enter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and as to whether the Transaction is appropriate or proper for it based upon its own judgment and upon advice from such advisers as it has deemed necessary. It is not relying on any communication (written or oral) of the other party as investment advice or as a recommendation to enter into the Transaction, it being understood that information and explanations related to the terms and conditions of the Transaction will not be considered investment advice or a recommendation to enter into the Transaction. No communication (written or oral) received from the other party will be deemed to be an assurance or guarantee as to the expected results of the Transaction.</w:t>
      </w:r>
    </w:p>
    <w:p>
      <w:pPr>
        <w:spacing w:after="0" w:line="184" w:lineRule="exact"/>
        <w:rPr>
          <w:rFonts w:ascii="Times New Roman" w:cs="Times New Roman" w:eastAsia="Times New Roman" w:hAnsi="Times New Roman"/>
          <w:sz w:val="18"/>
          <w:szCs w:val="18"/>
          <w:color w:val="auto"/>
        </w:rPr>
      </w:pPr>
    </w:p>
    <w:p>
      <w:pPr>
        <w:jc w:val="both"/>
        <w:ind w:left="720" w:right="299" w:hanging="334"/>
        <w:spacing w:after="0" w:line="267"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Assessment and Understanding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capable of assessing the merits of and understanding (on its own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through independent professional advice), and understands and accepts, the terms, conditions and risks of the Transaction. It is also capable of assuming, and assumes, the risks of the Transaction.</w:t>
      </w:r>
    </w:p>
    <w:p>
      <w:pPr>
        <w:spacing w:after="0" w:line="173" w:lineRule="exact"/>
        <w:rPr>
          <w:rFonts w:ascii="Times New Roman" w:cs="Times New Roman" w:eastAsia="Times New Roman" w:hAnsi="Times New Roman"/>
          <w:sz w:val="18"/>
          <w:szCs w:val="18"/>
          <w:color w:val="auto"/>
        </w:rPr>
      </w:pPr>
    </w:p>
    <w:p>
      <w:pPr>
        <w:ind w:left="720" w:right="319" w:hanging="334"/>
        <w:spacing w:after="0" w:line="284"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in compliance with Section 10(b) under the Securities Exchange Act of 1934,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20" w:right="299" w:hanging="334"/>
        <w:spacing w:after="0" w:line="284"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Eligible Contract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an “eligible contract participant” under, and as defined in, the Commodity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(7 U.S.C. § 1a(18)) and CFTC regulations (17 CFR § 1.3).</w:t>
      </w:r>
    </w:p>
    <w:p>
      <w:pPr>
        <w:spacing w:after="0" w:line="158" w:lineRule="exact"/>
        <w:rPr>
          <w:rFonts w:ascii="Times New Roman" w:cs="Times New Roman" w:eastAsia="Times New Roman" w:hAnsi="Times New Roman"/>
          <w:sz w:val="18"/>
          <w:szCs w:val="18"/>
          <w:color w:val="auto"/>
        </w:rPr>
      </w:pPr>
    </w:p>
    <w:p>
      <w:pPr>
        <w:ind w:left="720" w:right="299" w:hanging="334"/>
        <w:spacing w:after="0" w:line="284"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Characterization</w:t>
      </w:r>
      <w:r>
        <w:rPr>
          <w:rFonts w:ascii="Times New Roman" w:cs="Times New Roman" w:eastAsia="Times New Roman" w:hAnsi="Times New Roman"/>
          <w:sz w:val="18"/>
          <w:szCs w:val="18"/>
          <w:color w:val="auto"/>
        </w:rPr>
        <w:t>. It shall treat the Transaction as a derivative financial contract for U.S. federal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purposes, and it shall not take any action or tax return filing position contrary to this characterization.</w:t>
      </w:r>
    </w:p>
    <w:p>
      <w:pPr>
        <w:spacing w:after="0" w:line="158" w:lineRule="exact"/>
        <w:rPr>
          <w:rFonts w:ascii="Times New Roman" w:cs="Times New Roman" w:eastAsia="Times New Roman" w:hAnsi="Times New Roman"/>
          <w:sz w:val="18"/>
          <w:szCs w:val="18"/>
          <w:color w:val="auto"/>
        </w:rPr>
      </w:pPr>
    </w:p>
    <w:p>
      <w:pPr>
        <w:jc w:val="both"/>
        <w:ind w:left="720" w:right="299" w:hanging="334"/>
        <w:spacing w:after="0" w:line="26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Private Placement</w:t>
      </w:r>
      <w:r>
        <w:rPr>
          <w:rFonts w:ascii="Times New Roman" w:cs="Times New Roman" w:eastAsia="Times New Roman" w:hAnsi="Times New Roman"/>
          <w:sz w:val="18"/>
          <w:szCs w:val="18"/>
          <w:color w:val="auto"/>
        </w:rPr>
        <w:t>. It (i) is an “accredited investor” as such term is defined in Regulation D as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Act, (ii) is entering into the Transaction for its own account without a view to the distribution or resale thereof and (iii) understands that the assignment, transfer or other disposition of the Transaction has not been and will not be registered under the Securities Act.</w:t>
      </w:r>
    </w:p>
    <w:p>
      <w:pPr>
        <w:spacing w:after="0" w:line="179" w:lineRule="exact"/>
        <w:rPr>
          <w:rFonts w:ascii="Times New Roman" w:cs="Times New Roman" w:eastAsia="Times New Roman" w:hAnsi="Times New Roman"/>
          <w:sz w:val="18"/>
          <w:szCs w:val="18"/>
          <w:color w:val="auto"/>
        </w:rPr>
      </w:pPr>
    </w:p>
    <w:p>
      <w:pPr>
        <w:jc w:val="both"/>
        <w:ind w:left="720" w:right="299" w:hanging="334"/>
        <w:spacing w:after="0" w:line="267"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Investment Company Act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is not and, after giving effect to the Transaction, will not be required to register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“investment company” under, and as such term is defined in, the Investment Company Act of 1940, as amended.</w:t>
      </w:r>
    </w:p>
    <w:p>
      <w:pPr>
        <w:spacing w:after="0" w:line="173" w:lineRule="exact"/>
        <w:rPr>
          <w:rFonts w:ascii="Times New Roman" w:cs="Times New Roman" w:eastAsia="Times New Roman" w:hAnsi="Times New Roman"/>
          <w:sz w:val="18"/>
          <w:szCs w:val="18"/>
          <w:color w:val="auto"/>
        </w:rPr>
      </w:pPr>
    </w:p>
    <w:p>
      <w:pPr>
        <w:jc w:val="both"/>
        <w:ind w:left="720" w:right="299" w:hanging="334"/>
        <w:spacing w:after="0" w:line="26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Authorization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has been entered into pursuant to authority granted by its board of directors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governing authority. It has no internal policy, whether written or oral, that would prohibit it from entering into any aspect of the Transaction, including, but not limited to, the purchase of Shares to be made in connection therewith.</w:t>
      </w:r>
    </w:p>
    <w:p>
      <w:pPr>
        <w:spacing w:after="0" w:line="179" w:lineRule="exact"/>
        <w:rPr>
          <w:rFonts w:ascii="Times New Roman" w:cs="Times New Roman" w:eastAsia="Times New Roman" w:hAnsi="Times New Roman"/>
          <w:sz w:val="18"/>
          <w:szCs w:val="18"/>
          <w:color w:val="auto"/>
        </w:rPr>
      </w:pPr>
    </w:p>
    <w:p>
      <w:pPr>
        <w:jc w:val="both"/>
        <w:ind w:left="720" w:right="299" w:hanging="334"/>
        <w:spacing w:after="0" w:line="267"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Affiliate Status</w:t>
      </w:r>
      <w:r>
        <w:rPr>
          <w:rFonts w:ascii="Times New Roman" w:cs="Times New Roman" w:eastAsia="Times New Roman" w:hAnsi="Times New Roman"/>
          <w:sz w:val="18"/>
          <w:szCs w:val="18"/>
          <w:color w:val="auto"/>
        </w:rPr>
        <w:t>. It is the intention of the parties hereto that Seller shall not be an “affiliate” (as such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405 under the Securities Act) of the Counterparty, including CAEP or AIRH following the closing of the Business Combination, as a result of the transactions contemplated hereunder</w:t>
      </w:r>
    </w:p>
    <w:p>
      <w:pPr>
        <w:spacing w:after="0" w:line="173" w:lineRule="exact"/>
        <w:rPr>
          <w:rFonts w:ascii="Times New Roman" w:cs="Times New Roman" w:eastAsia="Times New Roman" w:hAnsi="Times New Roman"/>
          <w:sz w:val="18"/>
          <w:szCs w:val="18"/>
          <w:color w:val="auto"/>
        </w:rPr>
      </w:pPr>
    </w:p>
    <w:p>
      <w:pPr>
        <w:ind w:left="720" w:right="699" w:hanging="334"/>
        <w:spacing w:after="0" w:line="261" w:lineRule="auto"/>
        <w:tabs>
          <w:tab w:leader="none" w:pos="7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Tender Offer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Target and Seller each acknowledge that the Transaction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and all activity in connection with the Transaction has been undertaken to comply with the requirements of all tender offer regulations applicable to the Business Combination, including Rule 14e-5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1005840</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type w:val="continuous"/>
        </w:sectPr>
      </w:pPr>
    </w:p>
    <w:bookmarkStart w:id="102" w:name="page103"/>
    <w:bookmarkEnd w:id="102"/>
    <w:p>
      <w:pPr>
        <w:jc w:val="both"/>
        <w:ind w:left="720" w:right="299" w:hanging="334"/>
        <w:spacing w:after="0" w:line="257"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Enforceability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including the Confirmation, when executed and delivered by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will constitute the valid and legally binding obligation of each such party, enforceable against each of them in accordance with its terms, except (i) as limited by applicable bankruptcy, insolvency, reorganization, moratorium, fraudulent conveyance and any other laws of general application affecting enforcement of creditors’ rights generally, or (ii) as limited by laws relating to the availability of specific performance, injunctive relief or other equitable remedies.</w:t>
      </w:r>
    </w:p>
    <w:p>
      <w:pPr>
        <w:spacing w:after="0" w:line="182" w:lineRule="exact"/>
        <w:rPr>
          <w:rFonts w:ascii="Times New Roman" w:cs="Times New Roman" w:eastAsia="Times New Roman" w:hAnsi="Times New Roman"/>
          <w:sz w:val="18"/>
          <w:szCs w:val="18"/>
          <w:color w:val="auto"/>
        </w:rPr>
      </w:pPr>
    </w:p>
    <w:p>
      <w:pPr>
        <w:jc w:val="both"/>
        <w:ind w:left="720" w:right="299" w:hanging="334"/>
        <w:spacing w:after="0" w:line="255" w:lineRule="auto"/>
        <w:tabs>
          <w:tab w:leader="none" w:pos="7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Compliance with Other Instruments and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delivery and performance of this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Confirmation, and the consummation of the Transaction, will not result in any violation or default (i) of any provisions of its organizational documents, (ii) of any instrument, judgment, order, writ or decree to which it is a party or by which it is bound, (iii) under any note, indenture or mortgage to which it is a party or by which it is bound, (iv) under any lease, agreement, contract or purchase order to which it is a party or by which it is bound or (v) of any provision of any applicable federal or state statute, rule or regulation, in each case (other than clause (i)), which would have a material adverse effect on it or its ability to consummate the Transaction.</w:t>
      </w:r>
    </w:p>
    <w:p>
      <w:pPr>
        <w:spacing w:after="0" w:line="187" w:lineRule="exact"/>
        <w:rPr>
          <w:sz w:val="20"/>
          <w:szCs w:val="20"/>
          <w:color w:val="auto"/>
        </w:rPr>
      </w:pPr>
    </w:p>
    <w:p>
      <w:pPr>
        <w:ind w:left="720" w:right="299" w:hanging="334"/>
        <w:spacing w:after="0" w:line="282" w:lineRule="auto"/>
        <w:tabs>
          <w:tab w:leader="none" w:pos="7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and covenants and agrees with Seller as of the date on which it enters into the Transaction that:</w:t>
      </w:r>
    </w:p>
    <w:p>
      <w:pPr>
        <w:spacing w:after="0" w:line="160" w:lineRule="exact"/>
        <w:rPr>
          <w:sz w:val="20"/>
          <w:szCs w:val="20"/>
          <w:color w:val="auto"/>
        </w:rPr>
      </w:pPr>
    </w:p>
    <w:p>
      <w:pPr>
        <w:jc w:val="both"/>
        <w:ind w:left="720" w:right="299" w:hanging="334"/>
        <w:spacing w:after="0" w:line="267"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Non-Reliance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limiting the generality of Section 13.1 of the Equity Definitions,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acknowledges that Seller is not making any representations or warranties or taking any position or expressing any view with respect to the treatment of the Transaction under any accounting standards.</w:t>
      </w:r>
    </w:p>
    <w:p>
      <w:pPr>
        <w:spacing w:after="0" w:line="173" w:lineRule="exact"/>
        <w:rPr>
          <w:rFonts w:ascii="Times New Roman" w:cs="Times New Roman" w:eastAsia="Times New Roman" w:hAnsi="Times New Roman"/>
          <w:sz w:val="18"/>
          <w:szCs w:val="18"/>
          <w:color w:val="auto"/>
        </w:rPr>
      </w:pPr>
    </w:p>
    <w:p>
      <w:pPr>
        <w:jc w:val="both"/>
        <w:ind w:left="720" w:right="299" w:hanging="334"/>
        <w:spacing w:after="0" w:line="254"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Solvency</w:t>
      </w:r>
      <w:r>
        <w:rPr>
          <w:rFonts w:ascii="Times New Roman" w:cs="Times New Roman" w:eastAsia="Times New Roman" w:hAnsi="Times New Roman"/>
          <w:sz w:val="18"/>
          <w:szCs w:val="18"/>
          <w:color w:val="auto"/>
        </w:rPr>
        <w:t>. Counterparty is, and shall be as of the date of any payment or delivery by Counterparty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solvent and able to pay its debts as they come due, with assets having a fair value greater than liabilities and with capital sufficient to carry on the businesses in which it engages. Counterparty: (i) has not engaged in and will not engage in any business or transaction after which the property remaining with it will be unreasonably small in relation to its business, (ii) has not incurred and does not intend to incur debts beyond its ability to pay as they mature, and (iii) as a result of entering into and performing its obligations under the Transaction, (a) it has not violated and will not violate any relevant state law provision applicable to the acquisition or redemption by an issuer of its own securities and (b) it would not be nor would it be rendered “insolvent” (as such term is defined under Section 101(32) of the Bankruptcy Code).</w:t>
      </w:r>
    </w:p>
    <w:p>
      <w:pPr>
        <w:spacing w:after="0" w:line="188" w:lineRule="exact"/>
        <w:rPr>
          <w:rFonts w:ascii="Times New Roman" w:cs="Times New Roman" w:eastAsia="Times New Roman" w:hAnsi="Times New Roman"/>
          <w:sz w:val="18"/>
          <w:szCs w:val="18"/>
          <w:color w:val="auto"/>
        </w:rPr>
      </w:pPr>
    </w:p>
    <w:p>
      <w:pPr>
        <w:jc w:val="both"/>
        <w:ind w:left="720" w:right="299" w:hanging="334"/>
        <w:spacing w:after="0" w:line="256"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Public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Trade Date, Counterparty is in material compliance with its reporting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Exchange Act, and all reports and other documents filed by Counterparty with the Securities and Exchange Commission pursuant to the Exchange Act, when considered as a whole (with the most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under which they were made, not misleading.</w:t>
      </w:r>
    </w:p>
    <w:p>
      <w:pPr>
        <w:spacing w:after="0" w:line="182" w:lineRule="exact"/>
        <w:rPr>
          <w:rFonts w:ascii="Times New Roman" w:cs="Times New Roman" w:eastAsia="Times New Roman" w:hAnsi="Times New Roman"/>
          <w:sz w:val="18"/>
          <w:szCs w:val="18"/>
          <w:color w:val="auto"/>
        </w:rPr>
      </w:pPr>
    </w:p>
    <w:p>
      <w:pPr>
        <w:jc w:val="both"/>
        <w:ind w:left="720" w:right="299" w:hanging="334"/>
        <w:spacing w:after="0" w:line="257"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Disclosure</w:t>
      </w:r>
      <w:r>
        <w:rPr>
          <w:rFonts w:ascii="Times New Roman" w:cs="Times New Roman" w:eastAsia="Times New Roman" w:hAnsi="Times New Roman"/>
          <w:sz w:val="18"/>
          <w:szCs w:val="18"/>
          <w:color w:val="auto"/>
        </w:rPr>
        <w:t>. Counterparty agrees to comply with applicable SEC guidance in respect of disclosure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shall preview with Seller all public disclosure relating to the Transaction and shall consult with Seller to ensure that such public disclosure, including the press release, Form 8-K or other filing that announces the Transaction adequately discloses the material terms and conditions of the Transaction in form and substance reasonably acceptable to Seller; provided that the Form 8-K shall be publicly filed on the first Local Business Day after definitive transaction documents are signed.</w:t>
      </w:r>
    </w:p>
    <w:p>
      <w:pPr>
        <w:spacing w:after="0" w:line="182" w:lineRule="exact"/>
        <w:rPr>
          <w:rFonts w:ascii="Times New Roman" w:cs="Times New Roman" w:eastAsia="Times New Roman" w:hAnsi="Times New Roman"/>
          <w:sz w:val="18"/>
          <w:szCs w:val="18"/>
          <w:color w:val="auto"/>
        </w:rPr>
      </w:pPr>
    </w:p>
    <w:p>
      <w:pPr>
        <w:jc w:val="both"/>
        <w:ind w:left="720" w:right="299" w:hanging="334"/>
        <w:spacing w:after="0" w:line="255" w:lineRule="auto"/>
        <w:tabs>
          <w:tab w:leader="none" w:pos="7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Regulation M and Target Approvals</w:t>
      </w:r>
      <w:r>
        <w:rPr>
          <w:rFonts w:ascii="Times New Roman" w:cs="Times New Roman" w:eastAsia="Times New Roman" w:hAnsi="Times New Roman"/>
          <w:sz w:val="18"/>
          <w:szCs w:val="18"/>
          <w:color w:val="auto"/>
        </w:rPr>
        <w:t>. Counterparty is not on the Trade Date and agrees and covenants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on any date Seller is purchasing shares that may be included in a Pricing Date Notice, engaged or engaging in a distribution, as such term is used in Regulation M under the Exchange Act, of any securities of Counterparty, other than a distribution meeting the requirements of the exception set forth in Rules 101(b)(10) and 102(b)(7) of Regulation M. Counterparty shall not, until the second Scheduled Trading Day immediately following the dates referenced in the preceding sentence, engage in any such distribution. Counterparty, including Target, also agrees and covenants that the Merger Agreement shall be executed and all required approvals and consents of the Target security holders in connection with the Business Combination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871855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5" w:right="1440" w:bottom="1440" w:gutter="0" w:footer="0" w:header="0"/>
        </w:sectPr>
      </w:pPr>
    </w:p>
    <w:bookmarkStart w:id="103" w:name="page104"/>
    <w:bookmarkEnd w:id="103"/>
    <w:p>
      <w:pPr>
        <w:ind w:left="720" w:right="319"/>
        <w:spacing w:after="0" w:line="282" w:lineRule="auto"/>
        <w:rPr>
          <w:sz w:val="20"/>
          <w:szCs w:val="20"/>
          <w:color w:val="auto"/>
        </w:rPr>
      </w:pPr>
      <w:r>
        <w:rPr>
          <w:rFonts w:ascii="Times New Roman" w:cs="Times New Roman" w:eastAsia="Times New Roman" w:hAnsi="Times New Roman"/>
          <w:sz w:val="18"/>
          <w:szCs w:val="18"/>
          <w:color w:val="auto"/>
        </w:rPr>
        <w:t>obtained and any subsequent valuation periods as contemplated under Regulation M under the Exchange Act, shall be completed in each case no later than CAEP’s redemption deadline.</w:t>
      </w:r>
    </w:p>
    <w:p>
      <w:pPr>
        <w:spacing w:after="0" w:line="160" w:lineRule="exact"/>
        <w:rPr>
          <w:sz w:val="20"/>
          <w:szCs w:val="20"/>
          <w:color w:val="auto"/>
        </w:rPr>
      </w:pPr>
    </w:p>
    <w:p>
      <w:pPr>
        <w:jc w:val="both"/>
        <w:ind w:left="720" w:right="299" w:hanging="334"/>
        <w:spacing w:after="0" w:line="25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conflicts</w:t>
      </w:r>
      <w:r>
        <w:rPr>
          <w:rFonts w:ascii="Times New Roman" w:cs="Times New Roman" w:eastAsia="Times New Roman" w:hAnsi="Times New Roman"/>
          <w:sz w:val="18"/>
          <w:szCs w:val="18"/>
          <w:color w:val="auto"/>
        </w:rPr>
        <w:t>. The execution and delivery by the Counterparty and Target of, and the performance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the Target of its obligations under, the Transaction and the Confirmation and the consummation of the transactions contemplated by the Confirmation, including the payments and share issuances hereunder, do not and will not result in any breach or violation of or constitute a default under (nor constitute any event which, with notice, lapse of time or both, would result in any breach or violation of or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Counterparty, the Target or any of their respective subsidiaries pursuant to) (i) any provision of applicable law, (ii) the organizational documents of any of the Counterparty, the Target or any of their respective subsidiaries, (iii) any indenture, mortgage, deed of trust, bank loan or credit agreement or other evidence of indebtedness, or any license, lease, contract or other agreement or instrument binding upon the Counterparty, the Target or any of their respective subsidiaries, or (iv) any judgment, order or decree of any governmental body, agency or court having jurisdiction over the Counterparty, the Target or any of their respective subsidiaries, and no consent, approval, authorization or order of, or qualification with, any governmental body or agency is required for the performance by the Counterparty or the Target of their respective obligations under the Confirmation, except as have been obtained. In addition, the Counterparty and Target covenant and agree not to enter into any agreement or other arrangement that would prohibit, restrict or otherwise prevent the Counterparty from performing its obligations hereunder, including the making of any payment or Share issuance to the Seller.</w:t>
      </w:r>
    </w:p>
    <w:p>
      <w:pPr>
        <w:spacing w:after="0" w:line="191" w:lineRule="exact"/>
        <w:rPr>
          <w:sz w:val="20"/>
          <w:szCs w:val="20"/>
          <w:color w:val="auto"/>
        </w:rPr>
      </w:pPr>
    </w:p>
    <w:p>
      <w:pPr>
        <w:ind w:left="720" w:right="299" w:hanging="334"/>
        <w:spacing w:after="0" w:line="282" w:lineRule="auto"/>
        <w:tabs>
          <w:tab w:leader="none" w:pos="7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represents and warrants to, and covenants and agrees with Counterparty as of the date on which it enters into the Transaction and each other date specified that:</w:t>
      </w:r>
    </w:p>
    <w:p>
      <w:pPr>
        <w:spacing w:after="0" w:line="160" w:lineRule="exact"/>
        <w:rPr>
          <w:sz w:val="20"/>
          <w:szCs w:val="20"/>
          <w:color w:val="auto"/>
        </w:rPr>
      </w:pPr>
    </w:p>
    <w:p>
      <w:pPr>
        <w:jc w:val="both"/>
        <w:ind w:left="720" w:right="319" w:hanging="334"/>
        <w:spacing w:after="0" w:line="261"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Regulatory Filings</w:t>
      </w:r>
      <w:r>
        <w:rPr>
          <w:rFonts w:ascii="Times New Roman" w:cs="Times New Roman" w:eastAsia="Times New Roman" w:hAnsi="Times New Roman"/>
          <w:sz w:val="18"/>
          <w:szCs w:val="18"/>
          <w:color w:val="auto"/>
        </w:rPr>
        <w:t>. It is in compliance with all material regulatory filings relating to the Counterparty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Seller covenants that it will make all regulatory filings that it is required by law or regulation to make with respect to the Transaction including, without limitation, as may be required by Section 13 or Section 16 under the Exchange Act.</w:t>
      </w:r>
    </w:p>
    <w:p>
      <w:pPr>
        <w:spacing w:after="0" w:line="179" w:lineRule="exact"/>
        <w:rPr>
          <w:rFonts w:ascii="Times New Roman" w:cs="Times New Roman" w:eastAsia="Times New Roman" w:hAnsi="Times New Roman"/>
          <w:sz w:val="18"/>
          <w:szCs w:val="18"/>
          <w:color w:val="auto"/>
        </w:rPr>
      </w:pPr>
    </w:p>
    <w:p>
      <w:pPr>
        <w:jc w:val="both"/>
        <w:ind w:left="720" w:right="299" w:hanging="334"/>
        <w:spacing w:after="0" w:line="261"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Shareholder Vote</w:t>
      </w:r>
      <w:r>
        <w:rPr>
          <w:rFonts w:ascii="Times New Roman" w:cs="Times New Roman" w:eastAsia="Times New Roman" w:hAnsi="Times New Roman"/>
          <w:sz w:val="18"/>
          <w:szCs w:val="18"/>
          <w:color w:val="auto"/>
        </w:rPr>
        <w:t>. Seller agrees to not vote any Shares it holds as of the applicable record date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Business Combination at any meeting of the Counterparty’s shareholders (or to provide a written consent for that purpose with respect to such Shares) if it would be in violation of the Securities and Exchange Commission’s Compliance and Disclosure Interpretation No. 166.01 to do so.</w:t>
      </w:r>
    </w:p>
    <w:p>
      <w:pPr>
        <w:spacing w:after="0" w:line="179" w:lineRule="exact"/>
        <w:rPr>
          <w:rFonts w:ascii="Times New Roman" w:cs="Times New Roman" w:eastAsia="Times New Roman" w:hAnsi="Times New Roman"/>
          <w:sz w:val="18"/>
          <w:szCs w:val="18"/>
          <w:color w:val="auto"/>
        </w:rPr>
      </w:pPr>
    </w:p>
    <w:p>
      <w:pPr>
        <w:jc w:val="both"/>
        <w:ind w:left="720" w:right="299" w:hanging="334"/>
        <w:spacing w:after="0" w:line="256"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Private Placement</w:t>
      </w:r>
      <w:r>
        <w:rPr>
          <w:rFonts w:ascii="Times New Roman" w:cs="Times New Roman" w:eastAsia="Times New Roman" w:hAnsi="Times New Roman"/>
          <w:sz w:val="18"/>
          <w:szCs w:val="18"/>
          <w:color w:val="auto"/>
        </w:rPr>
        <w:t>. Seller (i) is an “accredited investor” as such term is defined in Regulation 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under the Securities Act, (ii) is entering into the Transaction for its own account without a view to the distribution or resale thereof and (iii) understands that the assignment, transfer or other disposition of the Transaction has not been and will not be registered under the Securities Act.</w:t>
      </w:r>
    </w:p>
    <w:p>
      <w:pPr>
        <w:spacing w:after="0" w:line="1" w:lineRule="exact"/>
        <w:rPr>
          <w:rFonts w:ascii="Times New Roman" w:cs="Times New Roman" w:eastAsia="Times New Roman" w:hAnsi="Times New Roman"/>
          <w:sz w:val="18"/>
          <w:szCs w:val="18"/>
          <w:color w:val="auto"/>
        </w:rPr>
      </w:pPr>
    </w:p>
    <w:p>
      <w:pPr>
        <w:jc w:val="both"/>
        <w:ind w:left="720" w:right="299" w:hanging="334"/>
        <w:spacing w:after="0" w:line="252"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Shorting</w:t>
      </w:r>
      <w:r>
        <w:rPr>
          <w:rFonts w:ascii="Times New Roman" w:cs="Times New Roman" w:eastAsia="Times New Roman" w:hAnsi="Times New Roman"/>
          <w:sz w:val="18"/>
          <w:szCs w:val="18"/>
          <w:color w:val="auto"/>
        </w:rPr>
        <w:t>. During the term of the Transaction, Seller agrees not to effect any Short Sales in respect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prior to the earlier of (a) the Settlement Date and (b) the cancellation of the Transaction. “</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means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w:t>
      </w:r>
    </w:p>
    <w:p>
      <w:pPr>
        <w:spacing w:after="0" w:line="187" w:lineRule="exact"/>
        <w:rPr>
          <w:rFonts w:ascii="Times New Roman" w:cs="Times New Roman" w:eastAsia="Times New Roman" w:hAnsi="Times New Roman"/>
          <w:sz w:val="18"/>
          <w:szCs w:val="18"/>
          <w:color w:val="auto"/>
        </w:rPr>
      </w:pPr>
    </w:p>
    <w:p>
      <w:pPr>
        <w:jc w:val="both"/>
        <w:ind w:left="720" w:right="299" w:hanging="334"/>
        <w:spacing w:after="0" w:line="267" w:lineRule="auto"/>
        <w:tabs>
          <w:tab w:leader="none" w:pos="7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Lock-Up; Transfer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agrees that, until the earlier of the Valuation Date and the date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Recycled Shares have been sold, it shall not directly or indirectly transfer any Recycled Shares except as in compliance with the terms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1139190</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by Seller in the Shares</w:t>
      </w:r>
    </w:p>
    <w:p>
      <w:pPr>
        <w:spacing w:after="0" w:line="2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Seller hereby waives the redemption rights (“</w:t>
      </w:r>
      <w:r>
        <w:rPr>
          <w:rFonts w:ascii="Times New Roman" w:cs="Times New Roman" w:eastAsia="Times New Roman" w:hAnsi="Times New Roman"/>
          <w:sz w:val="18"/>
          <w:szCs w:val="18"/>
          <w:b w:val="1"/>
          <w:bCs w:val="1"/>
          <w:color w:val="auto"/>
        </w:rPr>
        <w:t>Redemption Rights</w:t>
      </w:r>
      <w:r>
        <w:rPr>
          <w:rFonts w:ascii="Times New Roman" w:cs="Times New Roman" w:eastAsia="Times New Roman" w:hAnsi="Times New Roman"/>
          <w:sz w:val="18"/>
          <w:szCs w:val="18"/>
          <w:color w:val="auto"/>
        </w:rPr>
        <w:t>”) set forth in Counterparty’s memorandum and articles of association in connection with the Business Combination with respect to the Public Shares save for any redemption following the Additional Termination Events set out in (b) and (c) in the Additional Termination Event section above. Any sale, transfer or other disposition of Recycled Shares equal to or greater than 5,000 Shares by Seller shall automatically constitute a Mandatory Early Termination with respect to such Recycled Shares. Seller shall not (i) sell, transfer or otherwise dispose of any Recycled Shares at a price below the Minimum Sale Price, (ii) sell, transfer or otherwise dispose of any Recycled Shares in excess of the Volume Limit on any single trading day, or (iii) effect any sale, transfer or disposition of Recycled Shares equal to or greater than 5,000 Shares without providing written notification to Counterparty and paying to Counterparty, in each case in accordance with the section captioned “Mandatory Early Termination”</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notwithstanding the foregoing, if at any time the Number of Shares is less than 5,000 Shares, any sale, transfer or other disposition of Recycled Shares less than 5,000 Shares by Seller on any Exchange Business Day shall constitute a Mandatory Early Termination with respect to such Recycled Shares.</w:t>
      </w:r>
    </w:p>
    <w:p>
      <w:pPr>
        <w:spacing w:after="0" w:line="19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soon as is reasonable possible, but no longer than 10 business days following the Prepayment Date, the Seller will transfer all Recycled Shares held pursuant to this Confirmation to the Seller’s Prime Brokerage account at a FINRA licensed brokerage with notice to the Counterparty (the “</w:t>
      </w:r>
      <w:r>
        <w:rPr>
          <w:rFonts w:ascii="Times New Roman" w:cs="Times New Roman" w:eastAsia="Times New Roman" w:hAnsi="Times New Roman"/>
          <w:sz w:val="18"/>
          <w:szCs w:val="18"/>
          <w:b w:val="1"/>
          <w:bCs w:val="1"/>
          <w:color w:val="auto"/>
        </w:rPr>
        <w:t>Prime Broker</w:t>
      </w:r>
      <w:r>
        <w:rPr>
          <w:rFonts w:ascii="Times New Roman" w:cs="Times New Roman" w:eastAsia="Times New Roman" w:hAnsi="Times New Roman"/>
          <w:sz w:val="18"/>
          <w:szCs w:val="18"/>
          <w:color w:val="auto"/>
        </w:rPr>
        <w:t>”). The Recycled Shares will be held at the Prime Broker until the Valuation Date or their earlier sale pursuant to an Mandatory Early Termination. The Recycled Shares may not be rehypothecated, lent, pledged, transferred or otherwise used by the Prime Broker for any purpose, and Seller shall instruct the Prime Broker in writing that the Recycled Shares are held subject to this Confirmation and are not available for rehypothecation, securities lending or any similar use. From time to time at the Counterparty’s request, Seller shall instruct the Prime Broker to provide the Counterparty with a report independently confirming the number of Recycled Shares held pursuant to this Confirmation.</w:t>
      </w:r>
    </w:p>
    <w:p>
      <w:pPr>
        <w:spacing w:after="0" w:line="1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each MET Date the notice given by Seller to Buyer shall include a trade blotter capturing all transactions relating to the Recycled Shares that took place on or prior to the MET Date. From time to time at the Counterparty’s request, Seller shall instruct Prime Broker to provide a report to Counterparty independently confirming the number of Recycled Shares held pursuant to this Confirmation.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No Arrangements</w:t>
      </w:r>
    </w:p>
    <w:p>
      <w:pPr>
        <w:spacing w:after="0" w:line="229"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Seller and Counterparty each acknowledge and agree that: (i) there are no voting, hedging or settlement arrangements between Seller and Counterparty with respect to any Shares, other than those set forth herein; (ii) Counterparty will not be entitled to any voting rights in respect of any of the Shares underlying the Transaction; and</w:t>
      </w:r>
    </w:p>
    <w:p>
      <w:pPr>
        <w:spacing w:after="0" w:line="1" w:lineRule="exact"/>
        <w:rPr>
          <w:sz w:val="20"/>
          <w:szCs w:val="20"/>
          <w:color w:val="auto"/>
        </w:rPr>
      </w:pPr>
    </w:p>
    <w:p>
      <w:pPr>
        <w:ind w:left="300" w:right="319" w:hanging="8"/>
        <w:spacing w:after="0" w:line="260" w:lineRule="auto"/>
        <w:tabs>
          <w:tab w:leader="none" w:pos="6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will not seek to influence Seller with respect to the voting of any Hedge Positions of Seller consisting of Shares.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Wall Street Transparency and Accountability Act</w:t>
      </w:r>
    </w:p>
    <w:p>
      <w:pPr>
        <w:spacing w:after="0" w:line="198" w:lineRule="exact"/>
        <w:rPr>
          <w:sz w:val="20"/>
          <w:szCs w:val="20"/>
          <w:color w:val="auto"/>
        </w:rPr>
      </w:pPr>
    </w:p>
    <w:p>
      <w:pPr>
        <w:ind w:left="300" w:right="379" w:firstLine="45"/>
        <w:spacing w:after="0" w:line="255"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WSTAA or any regulation under WSTAA, nor any requirement under WSTAA or an amendment made by WSTAA, nor any similar legal certainty provision in any legislation enacted, or rule or regulation promulgated, on or after the date of this Confirmation, shall limit or otherwise impair either party’s otherwise applicable rights to terminate, renegotiate, modify, amend or supplement this Confirmation or the ISDA Form, as applicable, arising from a termination event, force majeure, illegality, increased costs, regulatory change or similar event under this Confirmation, the Equity Definitions incorporated herein, or the ISDA Form.</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Specific Performance</w:t>
      </w:r>
    </w:p>
    <w:p>
      <w:pPr>
        <w:spacing w:after="0" w:line="1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Seller agrees that irreparable damage may occur for which money damages will be inadequate in the event Seller breaches or otherwise default with respect to the requirements at Section 3(d) (</w:t>
      </w:r>
      <w:r>
        <w:rPr>
          <w:rFonts w:ascii="Times New Roman" w:cs="Times New Roman" w:eastAsia="Times New Roman" w:hAnsi="Times New Roman"/>
          <w:sz w:val="18"/>
          <w:szCs w:val="18"/>
          <w:i w:val="1"/>
          <w:iCs w:val="1"/>
          <w:color w:val="auto"/>
        </w:rPr>
        <w:t>Shorting</w:t>
      </w:r>
      <w:r>
        <w:rPr>
          <w:rFonts w:ascii="Times New Roman" w:cs="Times New Roman" w:eastAsia="Times New Roman" w:hAnsi="Times New Roman"/>
          <w:sz w:val="18"/>
          <w:szCs w:val="18"/>
          <w:color w:val="auto"/>
        </w:rPr>
        <w:t>) or Section 3(e) (</w:t>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of this Confirmation or the requirement to deliver Shares following the Prepayment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Valuation Date. Accordingly, Counterparty shall be entitled to specific performance of the terms hereof, in addition to any other remedy at law or equity due to any such breach or other default with respect to the requirements at Section 3(d) (</w:t>
      </w:r>
      <w:r>
        <w:rPr>
          <w:rFonts w:ascii="Times New Roman" w:cs="Times New Roman" w:eastAsia="Times New Roman" w:hAnsi="Times New Roman"/>
          <w:sz w:val="18"/>
          <w:szCs w:val="18"/>
          <w:i w:val="1"/>
          <w:iCs w:val="1"/>
          <w:color w:val="auto"/>
        </w:rPr>
        <w:t>Shorting</w:t>
      </w:r>
      <w:r>
        <w:rPr>
          <w:rFonts w:ascii="Times New Roman" w:cs="Times New Roman" w:eastAsia="Times New Roman" w:hAnsi="Times New Roman"/>
          <w:sz w:val="18"/>
          <w:szCs w:val="18"/>
          <w:color w:val="auto"/>
        </w:rPr>
        <w:t>) or Section 3(e) (</w:t>
      </w:r>
      <w:r>
        <w:rPr>
          <w:rFonts w:ascii="Times New Roman" w:cs="Times New Roman" w:eastAsia="Times New Roman" w:hAnsi="Times New Roman"/>
          <w:sz w:val="18"/>
          <w:szCs w:val="18"/>
          <w:i w:val="1"/>
          <w:iCs w:val="1"/>
          <w:color w:val="auto"/>
        </w:rPr>
        <w:t>Lock-up; Transfer Restrictions</w:t>
      </w:r>
      <w:r>
        <w:rPr>
          <w:rFonts w:ascii="Times New Roman" w:cs="Times New Roman" w:eastAsia="Times New Roman" w:hAnsi="Times New Roman"/>
          <w:sz w:val="18"/>
          <w:szCs w:val="18"/>
          <w:color w:val="auto"/>
        </w:rPr>
        <w:t>) of this Confirmation or the requirement to deliver Shares following the Prepayment Date or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873125</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5" w:name="page106"/>
    <w:bookmarkEnd w:id="105"/>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Address for Notices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Seller:</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Harraden Circle Investments LLC</w:t>
      </w:r>
    </w:p>
    <w:p>
      <w:pPr>
        <w:ind w:left="300"/>
        <w:spacing w:after="0" w:line="224" w:lineRule="auto"/>
        <w:rPr>
          <w:sz w:val="20"/>
          <w:szCs w:val="20"/>
          <w:color w:val="auto"/>
        </w:rPr>
      </w:pPr>
      <w:r>
        <w:rPr>
          <w:rFonts w:ascii="Times New Roman" w:cs="Times New Roman" w:eastAsia="Times New Roman" w:hAnsi="Times New Roman"/>
          <w:sz w:val="18"/>
          <w:szCs w:val="18"/>
          <w:color w:val="auto"/>
        </w:rPr>
        <w:t>299 Park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xxxxxxxxxxxx</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With a mandatory copy (which shall not constitute notice) to:</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Attn: 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No.: 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xxxxxxxxxxxxxxx</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Counterparty:</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AIR Limited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Festival Office Tower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Dubai, PO Box 117613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Arab Emirates</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xxxxxxxxxxxxxxxx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xxxxxxxxxxxxxxx</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with copies to (but which shall not constitute notice):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Lathan &amp; Watkins (London),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 Bishopsgate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London, EC2M 3XF, United Kingdom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 xxxxxxxxxxxxxxx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xxxxxxxxxxxxxxx</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if prior to the Business Combination: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Cantor Equity Partners III, Inc.</w:t>
      </w:r>
    </w:p>
    <w:p>
      <w:pPr>
        <w:ind w:left="300"/>
        <w:spacing w:after="0" w:line="224" w:lineRule="auto"/>
        <w:rPr>
          <w:sz w:val="20"/>
          <w:szCs w:val="20"/>
          <w:color w:val="auto"/>
        </w:rPr>
      </w:pPr>
      <w:r>
        <w:rPr>
          <w:rFonts w:ascii="Times New Roman" w:cs="Times New Roman" w:eastAsia="Times New Roman" w:hAnsi="Times New Roman"/>
          <w:sz w:val="18"/>
          <w:szCs w:val="18"/>
          <w:color w:val="auto"/>
        </w:rPr>
        <w:t>110 East 59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Attn: 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xxxxxxxxxxxxxxx</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with a copy to (but which shall not constitute notice):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1251 Avenue of the Americas, 27th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10020-1104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xxxxxxxxxxxxxxxxxxx</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xxxxxxxxxxxxxxxxxxx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970280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Other Provisions.</w:t>
      </w:r>
    </w:p>
    <w:p>
      <w:pPr>
        <w:spacing w:after="0" w:line="227" w:lineRule="exact"/>
        <w:rPr>
          <w:sz w:val="20"/>
          <w:szCs w:val="20"/>
          <w:color w:val="auto"/>
        </w:rPr>
      </w:pPr>
    </w:p>
    <w:p>
      <w:pPr>
        <w:ind w:left="720" w:hanging="334"/>
        <w:spacing w:after="0"/>
        <w:tabs>
          <w:tab w:leader="none" w:pos="7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Rule 10b5-1</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20" w:right="299" w:hanging="334"/>
        <w:spacing w:after="0" w:line="253"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to Seller that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for the purpose of inducing the purchase or sale of such securities or otherwise in violation of the Exchange Act, and Counterparty represents and warrants to Seller that Counterparty has not entered into or altered, and agrees that Counterparty will not enter into or alter, any corresponding or hedging transaction or position with respect to the Shares. Counterparty acknowledges that it is the intent of the parties that the Transaction comply with the requirements of paragraphs (c)(1)(i)(A) and (B) of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and the Transaction shall be interpreted to comply with the requirements of Rule 10b5-1(c).</w:t>
      </w:r>
    </w:p>
    <w:p>
      <w:pPr>
        <w:spacing w:after="0" w:line="194" w:lineRule="exact"/>
        <w:rPr>
          <w:rFonts w:ascii="Times New Roman" w:cs="Times New Roman" w:eastAsia="Times New Roman" w:hAnsi="Times New Roman"/>
          <w:sz w:val="18"/>
          <w:szCs w:val="18"/>
          <w:color w:val="auto"/>
        </w:rPr>
      </w:pPr>
    </w:p>
    <w:p>
      <w:pPr>
        <w:jc w:val="both"/>
        <w:ind w:left="720" w:right="299" w:hanging="334"/>
        <w:spacing w:after="0" w:line="258"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agrees that it will not seek to control or influence Seller’s decision to make any “purchases or sales” (within the meaning of Rule 10b5-1(c)(1)(i)(B)(3)) under the Transaction, including, without limitation, Seller’s decision to enter into any hedging transactions. Counterparty represents and warrants that it has consulted with its own advisors as to the legal aspects of its adoption and implementation of this Confirmation and the Transaction under Rule 10b5-1.</w:t>
      </w:r>
    </w:p>
    <w:p>
      <w:pPr>
        <w:spacing w:after="0" w:line="183" w:lineRule="exact"/>
        <w:rPr>
          <w:rFonts w:ascii="Times New Roman" w:cs="Times New Roman" w:eastAsia="Times New Roman" w:hAnsi="Times New Roman"/>
          <w:sz w:val="18"/>
          <w:szCs w:val="18"/>
          <w:color w:val="auto"/>
        </w:rPr>
      </w:pPr>
    </w:p>
    <w:p>
      <w:pPr>
        <w:jc w:val="both"/>
        <w:ind w:left="720" w:right="299" w:hanging="334"/>
        <w:spacing w:after="0" w:line="255" w:lineRule="auto"/>
        <w:tabs>
          <w:tab w:leader="none" w:pos="7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acknowledges and agrees that any amendment, modification, waiver or termination of this Confirmation must be effected in accordance with the requirements for the amendment or termination of a “plan” as defined in Rule 10b5-1(c). Without limiting the generality of the foregoing, Counterparty acknowledges and agrees that any such amendment, modification, waiver or termination shall be made in good faith and not as part of a plan or scheme to evade the prohibitions of Rule 10b-5, and no such amendment, modification or waiver shall be made at any time at which Counterparty is aware of any material non-public information regarding Counterparty or the Shares.</w:t>
      </w:r>
    </w:p>
    <w:p>
      <w:pPr>
        <w:spacing w:after="0" w:line="185" w:lineRule="exact"/>
        <w:rPr>
          <w:sz w:val="20"/>
          <w:szCs w:val="20"/>
          <w:color w:val="auto"/>
        </w:rPr>
      </w:pPr>
    </w:p>
    <w:p>
      <w:pPr>
        <w:ind w:left="620" w:hanging="234"/>
        <w:spacing w:after="0"/>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720" w:right="299" w:hanging="334"/>
        <w:spacing w:after="0" w:line="254" w:lineRule="auto"/>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 or Assignment</w:t>
      </w:r>
      <w:r>
        <w:rPr>
          <w:rFonts w:ascii="Times New Roman" w:cs="Times New Roman" w:eastAsia="Times New Roman" w:hAnsi="Times New Roman"/>
          <w:sz w:val="18"/>
          <w:szCs w:val="18"/>
          <w:color w:val="auto"/>
        </w:rPr>
        <w:t>. The rights and duties under this Confirmation may not be transferred or assigned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hereto without the prior written consent of the other party, such consent not to be unreasonably withheld, subject to the immediately following sentence. If at any time following the closing of the Business Combination at which (A) the Section 16 Percentage exceeds 9.9999%, or (B) the Share Amount exceeds the Applicable Share Limit (if any applies) (any such condition described in clause (A) or (B), an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Ownership Position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left="72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unable to effect a transfer or assignment of a portion of the Transaction to a third party on pricing terms reasonably acceptable to Seller and within a time period reasonably acceptable to Seller such that no Excess Ownership Position exists, then Seller may designate any Exchange Business Day as an Early Termination Date with respect to a portion of the Transaction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such that following such partial termination no Excess Ownership Position exists. In the event that Seller so designates an Early Termination Date with respect to a portion of the Transaction, a portion of the Shares with respect to the Transaction shall be delivered to Counterparty as if the Early Termination Date was the Valuation Date in respect of a Transaction having terms identical to the Transaction and a Number of Shares equal to the number of Shares underlying the Terminated Portion.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as determined by Seller, (A) the numerator of which is the number of Shares that Seller and each person subject to aggregation of Shares with Seller under Section 13 or Section 16 of the Exchange Act and rules promulgated thereunder and all persons who may form a “group” (within the meaning of Rule 13d-5(b)(1) of the Exchange Act) with Seller directly or indirectly beneficially own (as defined under Section 13 or Section 16 of the Exchange Act and rules promulgated thereunder) and (B) the denominator of which is the number of Shares outstanding.</w:t>
      </w:r>
    </w:p>
    <w:p>
      <w:pPr>
        <w:spacing w:after="0" w:line="187" w:lineRule="exact"/>
        <w:rPr>
          <w:sz w:val="20"/>
          <w:szCs w:val="20"/>
          <w:color w:val="auto"/>
        </w:rPr>
      </w:pPr>
    </w:p>
    <w:p>
      <w:pPr>
        <w:jc w:val="both"/>
        <w:ind w:left="820" w:right="299"/>
        <w:spacing w:after="0" w:line="26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Seller and any person whose ownership position would be aggregated with that of Seller and any group (however designated) of which Seller is a member (Seller or any such person or group, a “Seller Person”) under any law, rule, regulation,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864235</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7" w:name="page108"/>
    <w:bookmarkEnd w:id="107"/>
    <w:p>
      <w:pPr>
        <w:jc w:val="both"/>
        <w:ind w:left="820" w:right="319"/>
        <w:spacing w:after="0" w:line="261" w:lineRule="auto"/>
        <w:rPr>
          <w:sz w:val="20"/>
          <w:szCs w:val="20"/>
          <w:color w:val="auto"/>
        </w:rPr>
      </w:pPr>
      <w:r>
        <w:rPr>
          <w:rFonts w:ascii="Times New Roman" w:cs="Times New Roman" w:eastAsia="Times New Roman" w:hAnsi="Times New Roman"/>
          <w:sz w:val="18"/>
          <w:szCs w:val="18"/>
          <w:color w:val="auto"/>
        </w:rPr>
        <w:t>order or organizational documents or contracts of Counterparty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under any Applicable Restriction, as determined by Seller in its sole discretion.</w:t>
      </w:r>
    </w:p>
    <w:p>
      <w:pPr>
        <w:spacing w:after="0" w:line="176" w:lineRule="exact"/>
        <w:rPr>
          <w:sz w:val="20"/>
          <w:szCs w:val="20"/>
          <w:color w:val="auto"/>
        </w:rPr>
      </w:pPr>
    </w:p>
    <w:p>
      <w:pPr>
        <w:jc w:val="both"/>
        <w:ind w:left="820" w:right="299"/>
        <w:spacing w:after="0" w:line="259"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Applicable Share Limit</w:t>
      </w:r>
      <w:r>
        <w:rPr>
          <w:rFonts w:ascii="Times New Roman" w:cs="Times New Roman" w:eastAsia="Times New Roman" w:hAnsi="Times New Roman"/>
          <w:sz w:val="18"/>
          <w:szCs w:val="18"/>
          <w:color w:val="auto"/>
        </w:rPr>
        <w:t xml:space="preserve">” means a number of Shares equal to (A) the minimum number of Shares that could give rise to reporting or registration obligations or other requirements under Section 16 of the Exchange Act including obtaining prior approval from any person or entity) of a Seller Person, or could result in an adverse effect on a Seller Person, under any Applicable Restriction, as determined by Seller in its sole discretion,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0.0001% of the number of Shares outstanding.</w:t>
      </w:r>
    </w:p>
    <w:p>
      <w:pPr>
        <w:spacing w:after="0" w:line="179" w:lineRule="exact"/>
        <w:rPr>
          <w:sz w:val="20"/>
          <w:szCs w:val="20"/>
          <w:color w:val="auto"/>
        </w:rPr>
      </w:pPr>
    </w:p>
    <w:p>
      <w:pPr>
        <w:jc w:val="both"/>
        <w:ind w:left="720" w:right="299" w:hanging="334"/>
        <w:spacing w:after="0" w:line="251" w:lineRule="auto"/>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Each of Counterparty and Seller (each, an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agrees to indemnify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harmless the other party, its affiliates and its assignees and their respective directors, officers, employees, agents and controlling persons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incurred by or asserted against such Indemnified Party arising out of, in connection with, or relating to, any breach of any covenant or representation made by the Indemnifying Party in this Confirmation or the ISDA Form, regulatory filings made by the Indemnifying Party related to the Transaction (other than as relates to any information provided by or on behalf of the other party or its affiliates); provided that neither party will be liable under the foregoing indemnification provision to the extent that any loss, claim, damage, liability or expense is found in a non-appealable judgment by a court of competent jurisdiction to have resulted from the other party’s material breach of any covenant, representation or other obligation in this Confirmation or the ISDA Form or from the other party’s willful misconduct, gross negligence or bad faith in performing the services that are subject of the Transaction. If for any reason the foregoing indemnification is unavailable to any Indemnified Party or insufficient to hold harmless any Indemnified Party, then the applicable Indemnifying Party shall contribute, to the maximum extent permitted by law, to the amount paid or payable by the Indemnified Party as a result of such loss, claim, damage or liability. In addition (and in addition to any other Reimbursement of Legal Fees and other Expenses contemplated by this Confirmation), the applicable Indemnifying Party will reimburse any Indemnified Party for all reasonable, out-of-pocket, expenses (including reasonable counsel fees and expenses) as they are incurred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the applicable Indemnifying Party. The Indemnifying Party also agrees that no Indemnified Party shall have any liability to the applicable Indemnifying Party or any person asserting claims on behalf of or in right of the applicable Indemnifying Party in connection with or as a result of any matter referred to in this Confirmation except to the extent that any losses, claims, damages, liabilities or expenses incurred by the applicable Indemnifying Party result from such Indemnified Party’s breach of any covenant, representation or other obligation in this Confirmation or the ISDA Form or from the gross negligence, willful misconduct or bad faith of the Indemnified Party or breach of any U.S. federal or state securities laws or the rules, regulations or applicable interpretations of the Securities and Exchange Commission. The provisions of this paragraph shall survive the completion of the Transaction contemplated by this Confirmation and any assignment and/or delegation of the Transaction made pursuant to the ISDA Form or this Confirmation shall inure to the benefit of any permitted assignee.</w:t>
      </w:r>
    </w:p>
    <w:p>
      <w:pPr>
        <w:spacing w:after="0" w:line="203" w:lineRule="exact"/>
        <w:rPr>
          <w:rFonts w:ascii="Times New Roman" w:cs="Times New Roman" w:eastAsia="Times New Roman" w:hAnsi="Times New Roman"/>
          <w:sz w:val="18"/>
          <w:szCs w:val="18"/>
          <w:color w:val="auto"/>
        </w:rPr>
      </w:pPr>
    </w:p>
    <w:p>
      <w:pPr>
        <w:ind w:left="720" w:hanging="334"/>
        <w:spacing w:after="0"/>
        <w:tabs>
          <w:tab w:leader="none" w:pos="7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Amendments to Equity 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720" w:right="319" w:hanging="334"/>
        <w:spacing w:after="0" w:line="282" w:lineRule="auto"/>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11.2(a) of the Equity Definitions is hereby amended by (i) replacing the words “a diluting or concentrative” with the word “an” and adding the phrase “or such Transaction” at the end thereof;</w:t>
      </w:r>
    </w:p>
    <w:p>
      <w:pPr>
        <w:spacing w:after="0" w:line="161" w:lineRule="exact"/>
        <w:rPr>
          <w:rFonts w:ascii="Times New Roman" w:cs="Times New Roman" w:eastAsia="Times New Roman" w:hAnsi="Times New Roman"/>
          <w:sz w:val="18"/>
          <w:szCs w:val="18"/>
          <w:color w:val="auto"/>
        </w:rPr>
      </w:pPr>
    </w:p>
    <w:p>
      <w:pPr>
        <w:jc w:val="both"/>
        <w:ind w:left="720" w:right="299" w:hanging="334"/>
        <w:spacing w:after="0" w:line="255" w:lineRule="auto"/>
        <w:tabs>
          <w:tab w:leader="none" w:pos="7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11.2(c) of the Equity Definitions, prior to clause (A) thereof, is hereby amended to read as follows: ‘(c) If “Calculation Agent Adjustment” is specified as the Method of Adjustment in the related Confirmation of a Share Option Transaction or Share Forward Transaction, then, following the announcement or occurrence of any Potential Adjustment Event, the Calculation Agent will determine whether such Potential Adjustment Event has an economic effect on the Transaction and, if so, will (i) make appropriate adjustment(s), if any, to any one or more of:’ and the portion of such sentence immediately preceding clause (ii) thereof is hereby amended by deleting the words “diluting or concentrative”.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1010285</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08" w:name="page109"/>
    <w:bookmarkEnd w:id="108"/>
    <w:p>
      <w:pPr>
        <w:ind w:left="720" w:right="319" w:hanging="334"/>
        <w:spacing w:after="0" w:line="282"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11.2(e)(vii) of the Equity Definitions is hereby amended by (i) replacing the words “a diluting or concentrative” with the word “an” and (ii) adding the phrase “or the relevant Transaction” at the end thereof;</w:t>
      </w:r>
    </w:p>
    <w:p>
      <w:pPr>
        <w:spacing w:after="0" w:line="94" w:lineRule="exact"/>
        <w:rPr>
          <w:rFonts w:ascii="Times New Roman" w:cs="Times New Roman" w:eastAsia="Times New Roman" w:hAnsi="Times New Roman"/>
          <w:sz w:val="18"/>
          <w:szCs w:val="18"/>
          <w:color w:val="auto"/>
        </w:rPr>
      </w:pPr>
    </w:p>
    <w:p>
      <w:pPr>
        <w:jc w:val="both"/>
        <w:ind w:left="720" w:right="299" w:hanging="334"/>
        <w:spacing w:after="0" w:line="261"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12.6(a)(ii) of the Equity Definitions is hereby amended by (i) deleting from the fourth line thereof the word “or” after the word “official” and inserting a comma therefor, and (ii) deleting the semi-colon at the end of subsection (B) thereof and inserting the following words therefor “or (C) the occurrence of any of the events specified in Section 5(a)(vii)(1) through (9) of the ISDA Form with respect to that Issuer”;</w:t>
      </w:r>
    </w:p>
    <w:p>
      <w:pPr>
        <w:spacing w:after="0" w:line="112" w:lineRule="exact"/>
        <w:rPr>
          <w:rFonts w:ascii="Times New Roman" w:cs="Times New Roman" w:eastAsia="Times New Roman" w:hAnsi="Times New Roman"/>
          <w:sz w:val="18"/>
          <w:szCs w:val="18"/>
          <w:color w:val="auto"/>
        </w:rPr>
      </w:pPr>
    </w:p>
    <w:p>
      <w:pPr>
        <w:jc w:val="both"/>
        <w:ind w:left="720" w:right="319" w:hanging="334"/>
        <w:spacing w:after="0" w:line="261"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12.6(c)(ii) of the Equity Definitions is hereby amended by replacing the words “the Transaction will be cancelled,” in the first line with the words “Seller will have the right, which it must exercise or refrain from exercising, as applicable, in good faith acting in a commercially reasonable manner, to cancel the Transaction,”; and</w:t>
      </w:r>
    </w:p>
    <w:p>
      <w:pPr>
        <w:spacing w:after="0" w:line="112" w:lineRule="exact"/>
        <w:rPr>
          <w:rFonts w:ascii="Times New Roman" w:cs="Times New Roman" w:eastAsia="Times New Roman" w:hAnsi="Times New Roman"/>
          <w:sz w:val="18"/>
          <w:szCs w:val="18"/>
          <w:color w:val="auto"/>
        </w:rPr>
      </w:pPr>
    </w:p>
    <w:p>
      <w:pPr>
        <w:jc w:val="both"/>
        <w:ind w:left="720" w:right="299" w:hanging="334"/>
        <w:spacing w:after="0" w:line="266" w:lineRule="auto"/>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12.9(b)(i) of the Equity Definitions is hereby amended by (i) replacing “either party may elect” with “Seller may elect” and (ii) replacing “notice to the other party” with “notice to Counterparty” in the first sentence of such section.</w:t>
      </w:r>
    </w:p>
    <w:p>
      <w:pPr>
        <w:spacing w:after="0" w:line="106" w:lineRule="exact"/>
        <w:rPr>
          <w:sz w:val="20"/>
          <w:szCs w:val="20"/>
          <w:color w:val="auto"/>
        </w:rPr>
      </w:pPr>
    </w:p>
    <w:p>
      <w:pPr>
        <w:jc w:val="both"/>
        <w:ind w:left="720" w:right="299" w:hanging="334"/>
        <w:spacing w:after="0" w:line="257"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Waiver of Jury Trial</w:t>
      </w:r>
      <w:r>
        <w:rPr>
          <w:rFonts w:ascii="Times New Roman" w:cs="Times New Roman" w:eastAsia="Times New Roman" w:hAnsi="Times New Roman"/>
          <w:sz w:val="18"/>
          <w:szCs w:val="18"/>
          <w:color w:val="auto"/>
        </w:rPr>
        <w:t>. Each party waives, to the fullest extent permitted by applicable law, any right it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182" w:lineRule="exact"/>
        <w:rPr>
          <w:rFonts w:ascii="Times New Roman" w:cs="Times New Roman" w:eastAsia="Times New Roman" w:hAnsi="Times New Roman"/>
          <w:sz w:val="18"/>
          <w:szCs w:val="18"/>
          <w:color w:val="auto"/>
        </w:rPr>
      </w:pPr>
    </w:p>
    <w:p>
      <w:pPr>
        <w:jc w:val="both"/>
        <w:ind w:left="720" w:right="299" w:hanging="334"/>
        <w:spacing w:after="0" w:line="267"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Attorney and Other Fees</w:t>
      </w:r>
      <w:r>
        <w:rPr>
          <w:rFonts w:ascii="Times New Roman" w:cs="Times New Roman" w:eastAsia="Times New Roman" w:hAnsi="Times New Roman"/>
          <w:sz w:val="18"/>
          <w:szCs w:val="18"/>
          <w:color w:val="auto"/>
        </w:rPr>
        <w:t>. In the event of any legal action initiated by any party arising under or out of,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or in respect of, this Confirmation or the Transaction, the prevailing party shall be entitled to reasonable attorneys’ fees, costs and expenses incurred in such action, as determined and fixed by the court.</w:t>
      </w:r>
    </w:p>
    <w:p>
      <w:pPr>
        <w:spacing w:after="0" w:line="173" w:lineRule="exact"/>
        <w:rPr>
          <w:rFonts w:ascii="Times New Roman" w:cs="Times New Roman" w:eastAsia="Times New Roman" w:hAnsi="Times New Roman"/>
          <w:sz w:val="18"/>
          <w:szCs w:val="18"/>
          <w:color w:val="auto"/>
        </w:rPr>
      </w:pPr>
    </w:p>
    <w:p>
      <w:pPr>
        <w:jc w:val="both"/>
        <w:ind w:left="720" w:right="299" w:hanging="334"/>
        <w:spacing w:after="0" w:line="258"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Tax Disclosure</w:t>
      </w:r>
      <w:r>
        <w:rPr>
          <w:rFonts w:ascii="Times New Roman" w:cs="Times New Roman" w:eastAsia="Times New Roman" w:hAnsi="Times New Roman"/>
          <w:sz w:val="18"/>
          <w:szCs w:val="18"/>
          <w:color w:val="auto"/>
        </w:rPr>
        <w:t>. Effective from the date of commencement of discussions concerning the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83" w:lineRule="exact"/>
        <w:rPr>
          <w:rFonts w:ascii="Times New Roman" w:cs="Times New Roman" w:eastAsia="Times New Roman" w:hAnsi="Times New Roman"/>
          <w:sz w:val="18"/>
          <w:szCs w:val="18"/>
          <w:color w:val="auto"/>
        </w:rPr>
      </w:pPr>
    </w:p>
    <w:p>
      <w:pPr>
        <w:jc w:val="both"/>
        <w:ind w:left="720" w:right="299" w:hanging="334"/>
        <w:spacing w:after="0" w:line="252" w:lineRule="auto"/>
        <w:tabs>
          <w:tab w:leader="none" w:pos="7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Securities Contract; Swap Agreement</w:t>
      </w:r>
      <w:r>
        <w:rPr>
          <w:rFonts w:ascii="Times New Roman" w:cs="Times New Roman" w:eastAsia="Times New Roman" w:hAnsi="Times New Roman"/>
          <w:sz w:val="18"/>
          <w:szCs w:val="18"/>
          <w:color w:val="auto"/>
        </w:rPr>
        <w:t>. The parties hereto intend for (i) the Transaction to be (a) a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 defined in the Bankruptcy Code, in which case each payment and delivery made pursuant to the Transaction is a “termination value,” “payment amount” or “other transfer obligation” within the meaning of Section 362 of the Bankruptcy Code and a “settlement payment,” within the meaning of Section 546 of the Bankruptcy Code, and (b) a “swap agreement” as defined in the Bankruptcy Code, with respect to which each payment and delivery hereunder or in connection herewith is a “termination value,” “payment amount” or “other transfer obligation” within the meaning of Section 362 of the Bankruptcy Code and a “transfer,” as such term is defined in Section 101(54) of the Bankruptcy Code and a “payment or other transfer of property” within the meaning of Sections 362 and 546 of the Bankruptcy Code, and the parties hereto to be entitled to the protections afforded by, among other Sections, Sections 362(b)(6), 362(b)(17), 546(e), 546(g), 555 and 560 of the Bankruptcy Code, (ii) a party’s right to liquidate, terminate and accelerate the Transaction and to exercise any other remedies upon the occurrence of any Event of Default under the ISDA Form with respect to the other party to constitute a “contractual right” as described in the Bankruptcy Code, and (iii) each payment and delivery of cash, securities or other property hereunder to otherwise constitute a “margin payment” or “settlement payment” and a “transfer” as defined in the Bankruptcy Code.</w:t>
      </w:r>
    </w:p>
    <w:p>
      <w:pPr>
        <w:spacing w:after="0" w:line="196" w:lineRule="exact"/>
        <w:rPr>
          <w:sz w:val="20"/>
          <w:szCs w:val="20"/>
          <w:color w:val="auto"/>
        </w:rPr>
      </w:pPr>
    </w:p>
    <w:p>
      <w:pPr>
        <w:ind w:left="300" w:right="3359" w:firstLine="86"/>
        <w:spacing w:after="0" w:line="502" w:lineRule="auto"/>
        <w:tabs>
          <w:tab w:leader="none" w:pos="7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Process Agent</w:t>
      </w:r>
      <w:r>
        <w:rPr>
          <w:rFonts w:ascii="Times New Roman" w:cs="Times New Roman" w:eastAsia="Times New Roman" w:hAnsi="Times New Roman"/>
          <w:sz w:val="18"/>
          <w:szCs w:val="18"/>
          <w:color w:val="auto"/>
        </w:rPr>
        <w:t>. For the purposes of Section 13(c) of the ISDA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Seller appoints as its Process Agent: None</w:t>
      </w:r>
    </w:p>
    <w:p>
      <w:pPr>
        <w:ind w:left="300"/>
        <w:spacing w:after="0"/>
        <w:rPr>
          <w:sz w:val="20"/>
          <w:szCs w:val="20"/>
          <w:color w:val="auto"/>
        </w:rPr>
      </w:pPr>
      <w:r>
        <w:rPr>
          <w:rFonts w:ascii="Times New Roman" w:cs="Times New Roman" w:eastAsia="Times New Roman" w:hAnsi="Times New Roman"/>
          <w:sz w:val="18"/>
          <w:szCs w:val="18"/>
          <w:color w:val="auto"/>
        </w:rPr>
        <w:t>Counterparty appoints as its Process Agent: None.</w:t>
      </w:r>
    </w:p>
    <w:p>
      <w:pPr>
        <w:spacing w:after="0" w:line="1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897255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09" w:name="page110"/>
    <w:bookmarkEnd w:id="109"/>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a copy of this Confirmation and returning it to us at your earliest convenience.</w:t>
      </w:r>
    </w:p>
    <w:p>
      <w:pPr>
        <w:spacing w:after="0" w:line="3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HARRADEN CIRCLE INVESTORS,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HARRADEN CIRCLE SPECIAL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OPPORTUNITIES,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HARRADEN CIRCLE STRATEGIC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INVESTMENTS,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HARRADEN CIRCLE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CONCENTRATED, LP</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Frederick V. Fortmiller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18688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Frederick V. Fortmiller</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Cantor Equity Partners III, Inc.</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Jane Novak</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Jane Novak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AIR Holdings Limited</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/s/ Stuart Brazier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Stuart Brazier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1158875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OF PRICING DATE NOTICE</w:t>
      </w:r>
    </w:p>
    <w:p>
      <w:pPr>
        <w:spacing w:after="0" w:line="2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 2026</w:t>
      </w:r>
    </w:p>
    <w:p>
      <w:pPr>
        <w:spacing w:after="0" w:line="2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Cantor Equity Partners III, Inc., a Cayman Islands exempted company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2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Harraden Circle Investors, LP (“HCI”), (ii) Harraden Circle Special Opportunities, LP (“HCSO”), (iii)</w:t>
      </w:r>
    </w:p>
    <w:p>
      <w:pPr>
        <w:spacing w:after="0" w:line="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Harraden Circle Strategic Investments, LP (“HCSI”), (iv) Harraden Circle Concentrated, LP (“HCC”)</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(with HCI, HCSO, HCSI, HCC collectively, as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OTC Equity Prepaid Forward Transaction</w:t>
      </w:r>
    </w:p>
    <w:p>
      <w:pPr>
        <w:spacing w:after="0" w:line="229" w:lineRule="exact"/>
        <w:rPr>
          <w:sz w:val="20"/>
          <w:szCs w:val="20"/>
          <w:color w:val="auto"/>
        </w:rPr>
      </w:pPr>
    </w:p>
    <w:p>
      <w:pPr>
        <w:jc w:val="both"/>
        <w:ind w:left="540" w:right="299" w:hanging="248"/>
        <w:spacing w:after="0" w:line="261"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Pricing Date Notice supplements, forms part of, and is subject to the Confirmation Re: Prepaid Share Forward Transaction, dated as of May __, 2026 (the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between Counterparty and Seller, as amended and supplemented from time to time. All provisions contained in the Confirmation govern this Pricing Date Notice except as expressly modified below.</w:t>
      </w:r>
    </w:p>
    <w:p>
      <w:pPr>
        <w:spacing w:after="0" w:line="179" w:lineRule="exact"/>
        <w:rPr>
          <w:rFonts w:ascii="Times New Roman" w:cs="Times New Roman" w:eastAsia="Times New Roman" w:hAnsi="Times New Roman"/>
          <w:sz w:val="18"/>
          <w:szCs w:val="18"/>
          <w:color w:val="auto"/>
        </w:rPr>
      </w:pPr>
    </w:p>
    <w:p>
      <w:pPr>
        <w:ind w:left="540" w:right="339" w:hanging="248"/>
        <w:spacing w:after="0" w:line="282" w:lineRule="auto"/>
        <w:tabs>
          <w:tab w:leader="none" w:pos="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Pricing Date Notice is to confirm certain terms and conditions relating to the transaction described in the Confirmation.</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 of Shares:[____]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1033145</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1" w:name="page112"/>
    <w:bookmarkEnd w:id="111"/>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DIRECTOR AND OFFICER INDEMNIFICATION AGREEMENT</w:t>
      </w:r>
    </w:p>
    <w:p>
      <w:pPr>
        <w:spacing w:after="0" w:line="189" w:lineRule="exact"/>
        <w:rPr>
          <w:sz w:val="20"/>
          <w:szCs w:val="20"/>
          <w:color w:val="auto"/>
        </w:rPr>
      </w:pPr>
    </w:p>
    <w:p>
      <w:pPr>
        <w:ind w:left="300" w:right="5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DIRECTOR AND OFFICER INDEMNIFICATION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and entered into effective as of [ ● ], 2026, by and between AIR Global PLC, a company incorporated under the laws of Jersey having its registered office at 15 Esplanade, St. Helier, JE1 1RB, Jersey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[DIRECTOR NAME], an individual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Certain capitalized terms used herein are used as defined in Section 13 herein below.</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left="300" w:right="45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it is acknowledged that highly competent persons have become more reluctant to serve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directors or in other supervisory capacities unless they are provided with adequate protection through insurance or suitable indemnification against inordinate risks of claims and actions against them arising out of or as a result of their service to and activities on behalf of the company;</w:t>
      </w:r>
    </w:p>
    <w:p>
      <w:pPr>
        <w:spacing w:after="0" w:line="135" w:lineRule="exact"/>
        <w:rPr>
          <w:sz w:val="20"/>
          <w:szCs w:val="20"/>
          <w:color w:val="auto"/>
        </w:rPr>
      </w:pPr>
    </w:p>
    <w:p>
      <w:pPr>
        <w:ind w:left="300" w:right="359"/>
        <w:spacing w:after="0" w:line="24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in order to attract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retain suitably qualified individuals, the Company proposes to procure and maintain on an ongoing basis, at its sole expense, liability insurance to protect such persons serving the Company and its Subsidiaries from certain liabilities. Although the furnishing of such insurance has, historically, been a customary and widespread practice, the Company believes that, given current market conditions and trends, such insurance may be available to it in the future only at higher premiums and with more exclusions. At the same time, directors, officers, and other persons in service to companies, corporations or business enterprises are being increasingly subjected to expensive and time-consuming litigation relating to, among other things, matters that traditionally would have been brought only against the Company or business enterprise itself;</w:t>
      </w:r>
    </w:p>
    <w:p>
      <w:pPr>
        <w:spacing w:after="0" w:line="142" w:lineRule="exact"/>
        <w:rPr>
          <w:sz w:val="20"/>
          <w:szCs w:val="20"/>
          <w:color w:val="auto"/>
        </w:rPr>
      </w:pPr>
    </w:p>
    <w:p>
      <w:pPr>
        <w:ind w:left="300" w:right="61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has determined that the increased difficulty in attracting and retaining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persons is detrimental to the best interests of the Company as a whole, including to the Company’s shareholders, and that the Company should take steps to assure such persons regarding the certainty of such protection in the future;</w:t>
      </w:r>
    </w:p>
    <w:p>
      <w:pPr>
        <w:spacing w:after="0" w:line="149" w:lineRule="exact"/>
        <w:rPr>
          <w:sz w:val="20"/>
          <w:szCs w:val="20"/>
          <w:color w:val="auto"/>
        </w:rPr>
      </w:pPr>
    </w:p>
    <w:p>
      <w:pPr>
        <w:ind w:left="300" w:right="87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uncertainties relating to such insurance and to indemnification have increased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difficulty of attracting and retaining suitably qualified persons;</w:t>
      </w:r>
    </w:p>
    <w:p>
      <w:pPr>
        <w:spacing w:after="0" w:line="111" w:lineRule="exact"/>
        <w:rPr>
          <w:sz w:val="20"/>
          <w:szCs w:val="20"/>
          <w:color w:val="auto"/>
        </w:rPr>
      </w:pPr>
    </w:p>
    <w:p>
      <w:pPr>
        <w:ind w:left="300" w:right="31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it is reasonable, prudent and necessary for the Company contractually to obligate itself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indemnify, and to advance expenses on behalf of, such persons, in each case to the fullest extent permitted by applicable law, so that such persons will serve or continue to serve the Company free from undue concern that they will not be so indemnified;</w:t>
      </w:r>
    </w:p>
    <w:p>
      <w:pPr>
        <w:spacing w:after="0" w:line="135"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this Agreement is a supplement to and in furtherance of the amended and restated articles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association of the Company (as amended, modified, supplemented and/or restated from time to time, the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and the Companies (Jersey) Law 1991, as amended from time to time (the “</w:t>
      </w:r>
      <w:r>
        <w:rPr>
          <w:rFonts w:ascii="Times New Roman" w:cs="Times New Roman" w:eastAsia="Times New Roman" w:hAnsi="Times New Roman"/>
          <w:sz w:val="20"/>
          <w:szCs w:val="20"/>
          <w:b w:val="1"/>
          <w:bCs w:val="1"/>
          <w:color w:val="auto"/>
        </w:rPr>
        <w:t>Companies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and any shareholder resolutions adopted pursuant thereto, and shall not be deemed a substitute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 nor to diminish or abrogate any rights of Indemnitee thereunder; and</w:t>
      </w:r>
    </w:p>
    <w:p>
      <w:pPr>
        <w:spacing w:after="0" w:line="153" w:lineRule="exact"/>
        <w:rPr>
          <w:sz w:val="20"/>
          <w:szCs w:val="20"/>
          <w:color w:val="auto"/>
        </w:rPr>
      </w:pPr>
    </w:p>
    <w:p>
      <w:pPr>
        <w:ind w:left="300" w:right="339"/>
        <w:spacing w:after="0" w:line="24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Indemnitee does not regard the combined protection available under the Articles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as adequate in the present circumstances and may not be willing to serve as a director without adequate protection, and the Company desires Indemnitee to serve in such capacity. Indemnitee is willing to serve, continue to serve and to take on additional service for or on behalf of the Company on the condition that Indemnitee be indemnified, to the fullest extent permitted by applicable law, on and subject to the terms set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983615</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112" w:name="page113"/>
    <w:bookmarkEnd w:id="112"/>
    <w:p>
      <w:pPr>
        <w:ind w:left="300" w:right="479"/>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Indemnitee’s agreement to serve as a director from and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date hereof, and for good and valuable consideration, the receipt of which is acknowledged by the signature of the parties hereto, it is agreed as follows:</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 Indemnity of Indemnitee.</w:t>
      </w:r>
    </w:p>
    <w:p>
      <w:pPr>
        <w:spacing w:after="0" w:line="193" w:lineRule="exact"/>
        <w:rPr>
          <w:sz w:val="20"/>
          <w:szCs w:val="20"/>
          <w:color w:val="auto"/>
        </w:rPr>
      </w:pPr>
    </w:p>
    <w:p>
      <w:pPr>
        <w:ind w:left="300" w:right="339"/>
        <w:spacing w:after="0" w:line="244" w:lineRule="auto"/>
        <w:rPr>
          <w:sz w:val="20"/>
          <w:szCs w:val="20"/>
          <w:color w:val="auto"/>
        </w:rPr>
      </w:pPr>
      <w:r>
        <w:rPr>
          <w:rFonts w:ascii="Times New Roman" w:cs="Times New Roman" w:eastAsia="Times New Roman" w:hAnsi="Times New Roman"/>
          <w:sz w:val="20"/>
          <w:szCs w:val="20"/>
          <w:color w:val="auto"/>
        </w:rPr>
        <w:t>The Company hereby agrees to hold harmless and indemnify Indemnitee to the fullest extent permitted by applicable law, as such may be amended from time to time, against such liability as may accrue against Indemnitee in relation to his/her office as a director of the Company or matters arising therefrom, including their actual or purported exercise, or failure to exercise, of any of Indemnitee’s powers, duties or responsibilities as a director or officer of the Company or of any Enterprise (whether before or after the date of this Agreement). In furtherance of the foregoing indemnification, and without limiting the generality thereof:</w:t>
      </w:r>
    </w:p>
    <w:p>
      <w:pPr>
        <w:spacing w:after="0" w:line="141" w:lineRule="exact"/>
        <w:rPr>
          <w:sz w:val="20"/>
          <w:szCs w:val="20"/>
          <w:color w:val="auto"/>
        </w:rPr>
      </w:pPr>
    </w:p>
    <w:p>
      <w:pPr>
        <w:ind w:left="300" w:right="339" w:hanging="8"/>
        <w:spacing w:after="0" w:line="242" w:lineRule="auto"/>
        <w:tabs>
          <w:tab w:leader="none" w:pos="58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Proceedings Other Than Proceedings by or in the Right of the Company. </w:t>
      </w:r>
      <w:r>
        <w:rPr>
          <w:rFonts w:ascii="Times New Roman" w:cs="Times New Roman" w:eastAsia="Times New Roman" w:hAnsi="Times New Roman"/>
          <w:sz w:val="20"/>
          <w:szCs w:val="20"/>
          <w:color w:val="auto"/>
        </w:rPr>
        <w:t>Indemnitee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to the rights of indemnification provided in this Section 1(a) if, by reason of Indemnitee’s Corporate Status, the Indemnitee is, or is threatened to be made, a party to or participant in any Proceeding other than a Proceeding by or in the right of the Company. Pursuant to this Section 1(a), Indemnitee shall be indemnified to the maximum extent permitted by applicable law against all Expenses, judgments, penalties, fines, and amounts paid in settlement (provided that any such settlement shall have received the prior written consent of the Company, such consent not to be unreasonably withheld or delayed), actually and reasonably incurred by Indemnitee, or on Indemnitee’s behalf, in connection with such Proceeding or any claim, issue or matter therein, if the Indemnitee acted honestly and in good faith and in what the Indemnitee reasonably believed to be in the best interests of the Company, and, with respect to any criminal Proceeding, had no reasonable cause to believe the Indemnitee’s conduct was unlawful.</w:t>
      </w:r>
    </w:p>
    <w:p>
      <w:pPr>
        <w:spacing w:after="0" w:line="146" w:lineRule="exact"/>
        <w:rPr>
          <w:rFonts w:ascii="Times New Roman" w:cs="Times New Roman" w:eastAsia="Times New Roman" w:hAnsi="Times New Roman"/>
          <w:sz w:val="20"/>
          <w:szCs w:val="20"/>
          <w:b w:val="1"/>
          <w:bCs w:val="1"/>
          <w:color w:val="auto"/>
        </w:rPr>
      </w:pPr>
    </w:p>
    <w:p>
      <w:pPr>
        <w:ind w:left="300" w:right="319" w:hanging="8"/>
        <w:spacing w:after="0" w:line="242" w:lineRule="auto"/>
        <w:tabs>
          <w:tab w:leader="none" w:pos="591"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Proceedings by or in the Right of the Company. </w:t>
      </w:r>
      <w:r>
        <w:rPr>
          <w:rFonts w:ascii="Times New Roman" w:cs="Times New Roman" w:eastAsia="Times New Roman" w:hAnsi="Times New Roman"/>
          <w:sz w:val="20"/>
          <w:szCs w:val="20"/>
          <w:color w:val="auto"/>
        </w:rPr>
        <w:t>Indemnitee shall be entitled to the rights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provided in this Section 1(b) if, by reason of Indemnitee’s Corporate Status, the Indemnitee is, or is threatened to be made, a party to or participant in any Proceeding brought by or in the right of the Company. Pursuant to this Section 1(b), Indemnitee shall be indemnified to the fullest extent permitted by applicable law against all Expenses actually and reasonably incurred by the Indemnitee, or on the Indemnitee’s behalf, in connection with such Proceeding if the Indemnitee acted honestly and in good faith and in what the Indemnitee reasonably believed to be in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an Applicable Court shall determine that such indemnification may be made.</w:t>
      </w:r>
    </w:p>
    <w:p>
      <w:pPr>
        <w:spacing w:after="0" w:line="162" w:lineRule="exact"/>
        <w:rPr>
          <w:rFonts w:ascii="Times New Roman" w:cs="Times New Roman" w:eastAsia="Times New Roman" w:hAnsi="Times New Roman"/>
          <w:sz w:val="20"/>
          <w:szCs w:val="20"/>
          <w:b w:val="1"/>
          <w:bCs w:val="1"/>
          <w:color w:val="auto"/>
        </w:rPr>
      </w:pPr>
    </w:p>
    <w:p>
      <w:pPr>
        <w:ind w:left="300" w:right="299" w:hanging="8"/>
        <w:spacing w:after="0" w:line="242" w:lineRule="auto"/>
        <w:tabs>
          <w:tab w:leader="none" w:pos="569"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Party Who is Wholly or Partly Successful. </w:t>
      </w:r>
      <w:r>
        <w:rPr>
          <w:rFonts w:ascii="Times New Roman" w:cs="Times New Roman" w:eastAsia="Times New Roman" w:hAnsi="Times New Roman"/>
          <w:sz w:val="20"/>
          <w:szCs w:val="20"/>
          <w:color w:val="auto"/>
        </w:rPr>
        <w:t>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provision of this Agreement, to the extent that Indemnitee is, by reason of Indemnitee’s Corporate Status, a party to (or participant in) and is successful, on the merits or otherwise, in any Proceeding, Indemnitee shall be indemnified to the fullest extent permitted by applicable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Indemnitee against all Expenses actually and reasonably incurred by Indemnitee or on Indemnitee’s behalf, in connection with each successfully resolved claim, issue or matter. For purposes of this Section 1(c) and without limitation, the termination of any claim, issue or matter in such a Proceeding by dismissal, with or without prejudice, shall be deemed to be a successful result as to such claim, issue or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987425</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3" w:name="page114"/>
    <w:bookmarkEnd w:id="113"/>
    <w:p>
      <w:pPr>
        <w:ind w:left="300" w:right="939" w:hanging="8"/>
        <w:spacing w:after="0" w:line="250" w:lineRule="auto"/>
        <w:tabs>
          <w:tab w:leader="none" w:pos="591"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Partial Indemnification. </w:t>
      </w:r>
      <w:r>
        <w:rPr>
          <w:rFonts w:ascii="Times New Roman" w:cs="Times New Roman" w:eastAsia="Times New Roman" w:hAnsi="Times New Roman"/>
          <w:sz w:val="20"/>
          <w:szCs w:val="20"/>
          <w:color w:val="auto"/>
        </w:rPr>
        <w:t>If Indemnitee is entitled under any provision of this Agreement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by the Company for some or a portion of Expenses, but not, however, for the total amount thereof, the Company shall, to the fullest extent permitted by applicable law, nevertheless indemnify Indemnitee for the portion thereof to which Indemnitee is entitled.</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 Additional Indemnity.</w:t>
      </w:r>
    </w:p>
    <w:p>
      <w:pPr>
        <w:spacing w:after="0" w:line="193" w:lineRule="exact"/>
        <w:rPr>
          <w:sz w:val="20"/>
          <w:szCs w:val="20"/>
          <w:color w:val="auto"/>
        </w:rPr>
      </w:pPr>
    </w:p>
    <w:p>
      <w:pPr>
        <w:ind w:left="300" w:right="379"/>
        <w:spacing w:after="0" w:line="241" w:lineRule="auto"/>
        <w:rPr>
          <w:sz w:val="20"/>
          <w:szCs w:val="20"/>
          <w:color w:val="auto"/>
        </w:rPr>
      </w:pPr>
      <w:r>
        <w:rPr>
          <w:rFonts w:ascii="Times New Roman" w:cs="Times New Roman" w:eastAsia="Times New Roman" w:hAnsi="Times New Roman"/>
          <w:sz w:val="20"/>
          <w:szCs w:val="20"/>
          <w:color w:val="auto"/>
        </w:rPr>
        <w:t>In addition to, and without regard to any limitations on, the indemnification provided for in Section 1 of this Agreement, to the fullest extent permitted by applicable law, the Company shall and hereby does indemnify and hold harmless Indemnitee against all Expenses, judgments, penalties, fines and documented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The only limitations that shall exist upon the Company’s obligations pursuant to this Agreement shall be (i) compliance with applicable law, (ii) that the Company shall not be obligated to make any payment to Indemnitee that is finally determined (under the procedures, and subject to the presumptions, set forth in Sections 6 and 8) to be unlawful and (iii) that nothing in this Section 2 shall be deemed to expand or override the exclusions set forth in Section 9 of this Agreement, each of which shall apply to indemnification sought under this Section 2 to the same extent as if such indemnification were sought under Section 1.</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3. Contribution.</w:t>
      </w:r>
    </w:p>
    <w:p>
      <w:pPr>
        <w:spacing w:after="0" w:line="179" w:lineRule="exact"/>
        <w:rPr>
          <w:sz w:val="20"/>
          <w:szCs w:val="20"/>
          <w:color w:val="auto"/>
        </w:rPr>
      </w:pPr>
    </w:p>
    <w:p>
      <w:pPr>
        <w:ind w:left="300" w:right="499" w:hanging="8"/>
        <w:spacing w:after="0" w:line="246" w:lineRule="auto"/>
        <w:tabs>
          <w:tab w:leader="none" w:pos="580"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Whether or not the indemnification provided in Sections 1 and 2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w:t>
      </w:r>
    </w:p>
    <w:p>
      <w:pPr>
        <w:spacing w:after="0" w:line="157" w:lineRule="exact"/>
        <w:rPr>
          <w:rFonts w:ascii="Times New Roman" w:cs="Times New Roman" w:eastAsia="Times New Roman" w:hAnsi="Times New Roman"/>
          <w:sz w:val="20"/>
          <w:szCs w:val="20"/>
          <w:b w:val="1"/>
          <w:bCs w:val="1"/>
          <w:color w:val="auto"/>
        </w:rPr>
      </w:pPr>
    </w:p>
    <w:p>
      <w:pPr>
        <w:ind w:left="300" w:right="359" w:hanging="8"/>
        <w:spacing w:after="0" w:line="254" w:lineRule="auto"/>
        <w:tabs>
          <w:tab w:leader="none" w:pos="591" w:val="left"/>
        </w:tabs>
        <w:numPr>
          <w:ilvl w:val="0"/>
          <w:numId w:val="1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compliance with applicable law, the degree to which their actions were motivated by intent to gain personal profit or advantage, the degree to which their liability is primary or secondary and the degree to which their conduct is active or passive.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981710</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4" w:name="page115"/>
    <w:bookmarkEnd w:id="114"/>
    <w:p>
      <w:pPr>
        <w:ind w:left="300" w:right="559" w:hanging="8"/>
        <w:spacing w:after="0" w:line="274" w:lineRule="auto"/>
        <w:tabs>
          <w:tab w:leader="none" w:pos="569" w:val="left"/>
        </w:tabs>
        <w:numPr>
          <w:ilvl w:val="0"/>
          <w:numId w:val="1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hereby agrees to the fullest extent permitted by applicable law to indemnify and hold Indemnitee harmless from any claims of contribution which may be brought by officers, directors, or employees of the Company, other than Indemnitee, who may be jointly liable with Indemnitee.</w:t>
      </w:r>
    </w:p>
    <w:p>
      <w:pPr>
        <w:spacing w:after="0" w:line="115" w:lineRule="exact"/>
        <w:rPr>
          <w:rFonts w:ascii="Times New Roman" w:cs="Times New Roman" w:eastAsia="Times New Roman" w:hAnsi="Times New Roman"/>
          <w:sz w:val="19"/>
          <w:szCs w:val="19"/>
          <w:b w:val="1"/>
          <w:bCs w:val="1"/>
          <w:color w:val="auto"/>
        </w:rPr>
      </w:pPr>
    </w:p>
    <w:p>
      <w:pPr>
        <w:ind w:left="300" w:right="339" w:hanging="8"/>
        <w:spacing w:after="0" w:line="242" w:lineRule="auto"/>
        <w:tabs>
          <w:tab w:leader="none" w:pos="591"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indemnification provided for in this Agreement is unavailable to Indemnitee for any reason whatsoever in connection with a Proceeding in which Indemnitee is or was a party by reason of Indemnitee’s Corporate Status and in which the Company is jointly liable with Indemnitee (or would be if joined in such Proceeding), then to the fullest extent permissible under applicable law and public policy, the Company, in lieu of indemnifying Indemnitee, shall contribute to the documented amount actually incurred by Indemnitee, whether for judgments, fines, penalties, excise taxes, amounts paid or to be paid in settlement and/or for Expenses,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4. Indemnification for Expenses of a Witness.</w:t>
      </w:r>
    </w:p>
    <w:p>
      <w:pPr>
        <w:spacing w:after="0" w:line="179"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9"/>
          <w:szCs w:val="19"/>
          <w:color w:val="auto"/>
        </w:rPr>
        <w:t>Notwithstanding any other provision of this Agreement,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5. Advancement of Expenses.</w:t>
      </w:r>
    </w:p>
    <w:p>
      <w:pPr>
        <w:spacing w:after="0" w:line="193" w:lineRule="exact"/>
        <w:rPr>
          <w:sz w:val="20"/>
          <w:szCs w:val="20"/>
          <w:color w:val="auto"/>
        </w:rPr>
      </w:pPr>
    </w:p>
    <w:p>
      <w:pPr>
        <w:ind w:left="300" w:right="299"/>
        <w:spacing w:after="0" w:line="243" w:lineRule="auto"/>
        <w:rPr>
          <w:sz w:val="20"/>
          <w:szCs w:val="20"/>
          <w:color w:val="auto"/>
        </w:rPr>
      </w:pPr>
      <w:r>
        <w:rPr>
          <w:rFonts w:ascii="Times New Roman" w:cs="Times New Roman" w:eastAsia="Times New Roman" w:hAnsi="Times New Roman"/>
          <w:sz w:val="20"/>
          <w:szCs w:val="20"/>
          <w:color w:val="auto"/>
        </w:rPr>
        <w:t>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together with suitable documentary evidence of such Expenses, requesting such advance or advances from time to time, whether prior to or after final disposition of such Proceeding. The Company shall make such advances without regard to Indemnitee's ability to repay the Expenses and without regard to Indemnitee's ultimate entitlement to indemnification under the other provisions of this Agreement. All advances pursuant to this Section 5 shall be unsecured and interest free.</w:t>
      </w:r>
    </w:p>
    <w:p>
      <w:pPr>
        <w:spacing w:after="0" w:line="149" w:lineRule="exact"/>
        <w:rPr>
          <w:sz w:val="20"/>
          <w:szCs w:val="20"/>
          <w:color w:val="auto"/>
        </w:rPr>
      </w:pPr>
    </w:p>
    <w:p>
      <w:pPr>
        <w:ind w:left="300" w:right="319"/>
        <w:spacing w:after="0" w:line="244" w:lineRule="auto"/>
        <w:rPr>
          <w:sz w:val="20"/>
          <w:szCs w:val="20"/>
          <w:color w:val="auto"/>
        </w:rPr>
      </w:pPr>
      <w:r>
        <w:rPr>
          <w:rFonts w:ascii="Times New Roman" w:cs="Times New Roman" w:eastAsia="Times New Roman" w:hAnsi="Times New Roman"/>
          <w:sz w:val="20"/>
          <w:szCs w:val="20"/>
          <w:color w:val="auto"/>
        </w:rPr>
        <w:t>Indemnitee hereby undertakes to repay any amounts so advanced (without interest) to the extent that it is ultimately determined that Indemnitee is not entitled to be indemnified by the Company. No other form of undertaking shall be required other than the execution of this Agreement. If, when and to the extent that it is so determined that Indemnitee would not be permitted to be so indemnified under applicable law, the Company shall be entitled to be reimbursed by Indemnitee (who hereby agrees to reimburse the Company) for all such amounts theretofore paid within thirty (30) days of such determination. Any advances to repay pursuant to this Section 5 shall be unsecured and interest free.</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6. Procedures and Presumptions for Determination of Entitlement to Indemnification.</w:t>
      </w:r>
    </w:p>
    <w:p>
      <w:pPr>
        <w:spacing w:after="0" w:line="193" w:lineRule="exact"/>
        <w:rPr>
          <w:sz w:val="20"/>
          <w:szCs w:val="20"/>
          <w:color w:val="auto"/>
        </w:rPr>
      </w:pPr>
    </w:p>
    <w:p>
      <w:pPr>
        <w:ind w:left="300" w:right="359"/>
        <w:spacing w:after="0" w:line="249" w:lineRule="auto"/>
        <w:rPr>
          <w:sz w:val="20"/>
          <w:szCs w:val="20"/>
          <w:color w:val="auto"/>
        </w:rPr>
      </w:pPr>
      <w:r>
        <w:rPr>
          <w:rFonts w:ascii="Times New Roman" w:cs="Times New Roman" w:eastAsia="Times New Roman" w:hAnsi="Times New Roman"/>
          <w:sz w:val="20"/>
          <w:szCs w:val="20"/>
          <w:color w:val="auto"/>
        </w:rPr>
        <w:t>It is the intent of this Agreement to secure for Indemnitee rights of indemnity that are as favorable as may be permitted under the laws of Jersey. Accordingly, the parties agree that the following procedures and presumptions shall apply in the event of any question as to whether Indemnitee is entitled to indemnification under this Agreement:</w:t>
      </w:r>
    </w:p>
    <w:p>
      <w:pPr>
        <w:spacing w:after="0" w:line="139" w:lineRule="exact"/>
        <w:rPr>
          <w:sz w:val="20"/>
          <w:szCs w:val="20"/>
          <w:color w:val="auto"/>
        </w:rPr>
      </w:pPr>
    </w:p>
    <w:p>
      <w:pPr>
        <w:ind w:left="300" w:right="399" w:hanging="8"/>
        <w:spacing w:after="0" w:line="266" w:lineRule="auto"/>
        <w:tabs>
          <w:tab w:leader="none" w:pos="580" w:val="left"/>
        </w:tabs>
        <w:numPr>
          <w:ilvl w:val="0"/>
          <w:numId w:val="1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972820</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5" w:name="page116"/>
    <w:bookmarkEnd w:id="115"/>
    <w:p>
      <w:pPr>
        <w:ind w:left="300" w:right="419"/>
        <w:spacing w:after="0" w:line="245" w:lineRule="auto"/>
        <w:rPr>
          <w:sz w:val="20"/>
          <w:szCs w:val="20"/>
          <w:color w:val="auto"/>
        </w:rPr>
      </w:pPr>
      <w:r>
        <w:rPr>
          <w:rFonts w:ascii="Times New Roman" w:cs="Times New Roman" w:eastAsia="Times New Roman" w:hAnsi="Times New Roman"/>
          <w:sz w:val="20"/>
          <w:szCs w:val="20"/>
          <w:color w:val="auto"/>
        </w:rPr>
        <w:t>indemnification, advise the Board in writing that Indemnitee has requested indemnification and the amounts thereof.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 The Company will be entitled to participate in the Proceeding at its own Expense.</w:t>
      </w:r>
    </w:p>
    <w:p>
      <w:pPr>
        <w:spacing w:after="0" w:line="144" w:lineRule="exact"/>
        <w:rPr>
          <w:sz w:val="20"/>
          <w:szCs w:val="20"/>
          <w:color w:val="auto"/>
        </w:rPr>
      </w:pPr>
    </w:p>
    <w:p>
      <w:pPr>
        <w:ind w:left="300" w:right="319" w:hanging="8"/>
        <w:spacing w:after="0" w:line="259" w:lineRule="auto"/>
        <w:tabs>
          <w:tab w:leader="none" w:pos="591"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Upon written request by Indemnitee for indemnification pursuant to the first sentence of Section 6(a), a determination with respect to Indemnitee’s entitlement thereto shall be made in the specific case by one of the following three methods, which shall be at the sole discretion of the Board: (i) by a majority vote of the Disinterested Directors, even if less than a quorum, (ii) by a committee of Disinterested Directors designated by a majority vote of the Disinterested Directors, even if less than a quorum and (iii) if there are no Disinterested Directors or if the Disinterested Directors so direct, by Independent Counsel in a written opinion to the Board, a copy of which shall be delivered to the Indemnitee.</w:t>
      </w:r>
    </w:p>
    <w:p>
      <w:pPr>
        <w:spacing w:after="0" w:line="145" w:lineRule="exact"/>
        <w:rPr>
          <w:rFonts w:ascii="Times New Roman" w:cs="Times New Roman" w:eastAsia="Times New Roman" w:hAnsi="Times New Roman"/>
          <w:sz w:val="19"/>
          <w:szCs w:val="19"/>
          <w:b w:val="1"/>
          <w:bCs w:val="1"/>
          <w:color w:val="auto"/>
        </w:rPr>
      </w:pPr>
    </w:p>
    <w:p>
      <w:pPr>
        <w:ind w:left="300" w:right="319" w:hanging="8"/>
        <w:spacing w:after="0" w:line="254" w:lineRule="auto"/>
        <w:tabs>
          <w:tab w:leader="none" w:pos="569"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determination of entitlement to indemnification is to be made by Independent Counsel pursuant to Section 6(b), the Independent Counsel shall be selected by the Board and written notice of such selection shall be provided to Indemnitee.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“Independent Counsel” as defined in Section 13(g), and the objection shall set forth with sufficient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an Applicable Court has determined that such objection is without merit. If, within twenty (20) days after submission by Indemnitee of a written request for indemnification pursuant to Section 6(a), no Independent Counsel shall have been selected and not objected to, either the Company or Indemnitee may petition an Applicable Court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The Company shall pay any and all reasonable fees and documented expenses of Independent Counsel incurred by such Independent Counsel in connection with acting pursuant to Section 6(b), and the Company shall pay all reasonable fees and documented expenses incurred by the Company and the Indemnitee incident to the procedures of this Section 6(c), regardless of the manner in which such Independent Counsel was selected or appointed.</w:t>
      </w:r>
    </w:p>
    <w:p>
      <w:pPr>
        <w:spacing w:after="0" w:line="139" w:lineRule="exact"/>
        <w:rPr>
          <w:rFonts w:ascii="Times New Roman" w:cs="Times New Roman" w:eastAsia="Times New Roman" w:hAnsi="Times New Roman"/>
          <w:sz w:val="19"/>
          <w:szCs w:val="19"/>
          <w:b w:val="1"/>
          <w:bCs w:val="1"/>
          <w:color w:val="auto"/>
        </w:rPr>
      </w:pPr>
    </w:p>
    <w:p>
      <w:pPr>
        <w:ind w:left="300" w:right="359" w:hanging="8"/>
        <w:spacing w:after="0" w:line="257" w:lineRule="auto"/>
        <w:tabs>
          <w:tab w:leader="none" w:pos="591"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35" w:lineRule="exact"/>
        <w:rPr>
          <w:rFonts w:ascii="Times New Roman" w:cs="Times New Roman" w:eastAsia="Times New Roman" w:hAnsi="Times New Roman"/>
          <w:sz w:val="19"/>
          <w:szCs w:val="19"/>
          <w:b w:val="1"/>
          <w:bCs w:val="1"/>
          <w:color w:val="auto"/>
        </w:rPr>
      </w:pPr>
    </w:p>
    <w:p>
      <w:pPr>
        <w:ind w:left="300" w:right="399" w:hanging="8"/>
        <w:spacing w:after="0" w:line="263" w:lineRule="auto"/>
        <w:tabs>
          <w:tab w:leader="none" w:pos="569" w:val="left"/>
        </w:tabs>
        <w:numPr>
          <w:ilvl w:val="0"/>
          <w:numId w:val="1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981710</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6" w:name="page117"/>
    <w:bookmarkEnd w:id="116"/>
    <w:p>
      <w:pPr>
        <w:jc w:val="both"/>
        <w:ind w:left="300" w:right="459"/>
        <w:spacing w:after="0" w:line="254" w:lineRule="auto"/>
        <w:rPr>
          <w:sz w:val="20"/>
          <w:szCs w:val="20"/>
          <w:color w:val="auto"/>
        </w:rPr>
      </w:pPr>
      <w:r>
        <w:rPr>
          <w:rFonts w:ascii="Times New Roman" w:cs="Times New Roman" w:eastAsia="Times New Roman" w:hAnsi="Times New Roman"/>
          <w:sz w:val="20"/>
          <w:szCs w:val="20"/>
          <w:color w:val="auto"/>
        </w:rPr>
        <w:t>Enterprise. The provisions of this Section 6(e) shall not be deemed to be exclusive or to limit in any way the other circumstances in which the Indemnitee may be deemed to have met the applicable standard of conduct set forth under applicable law or this Agreement.</w:t>
      </w:r>
    </w:p>
    <w:p>
      <w:pPr>
        <w:spacing w:after="0" w:line="134" w:lineRule="exact"/>
        <w:rPr>
          <w:sz w:val="20"/>
          <w:szCs w:val="20"/>
          <w:color w:val="auto"/>
        </w:rPr>
      </w:pPr>
    </w:p>
    <w:p>
      <w:pPr>
        <w:ind w:left="300" w:right="399" w:hanging="8"/>
        <w:spacing w:after="0" w:line="256" w:lineRule="auto"/>
        <w:tabs>
          <w:tab w:leader="none" w:pos="547"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person, persons or entity empowered or selected under this Section 6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to the fullest extent permitted by applicable law,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w:t>
      </w:r>
    </w:p>
    <w:p>
      <w:pPr>
        <w:spacing w:after="0" w:line="150" w:lineRule="exact"/>
        <w:rPr>
          <w:rFonts w:ascii="Times New Roman" w:cs="Times New Roman" w:eastAsia="Times New Roman" w:hAnsi="Times New Roman"/>
          <w:sz w:val="19"/>
          <w:szCs w:val="19"/>
          <w:b w:val="1"/>
          <w:bCs w:val="1"/>
          <w:color w:val="auto"/>
        </w:rPr>
      </w:pPr>
    </w:p>
    <w:p>
      <w:pPr>
        <w:ind w:left="300" w:right="319" w:hanging="8"/>
        <w:spacing w:after="0" w:line="243" w:lineRule="auto"/>
        <w:tabs>
          <w:tab w:leader="none" w:pos="58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Any Independent Counsel, member of the Board shall act reasonably and in good faith in making a determination regarding the Indemnitee’s entitlement to indemnification under this Agreement. Reasonable costs or documented expenses (including attorneys’ fees and disbursements) actually incurred by Indemnitee in so cooperating with the person, persons or entity making such determination shall be borne by the Company (irrespective of the determination as to Indemnitee’s entitlement to indemnification).</w:t>
      </w:r>
    </w:p>
    <w:p>
      <w:pPr>
        <w:spacing w:after="0" w:line="145" w:lineRule="exact"/>
        <w:rPr>
          <w:rFonts w:ascii="Times New Roman" w:cs="Times New Roman" w:eastAsia="Times New Roman" w:hAnsi="Times New Roman"/>
          <w:sz w:val="20"/>
          <w:szCs w:val="20"/>
          <w:b w:val="1"/>
          <w:bCs w:val="1"/>
          <w:color w:val="auto"/>
        </w:rPr>
      </w:pPr>
    </w:p>
    <w:p>
      <w:pPr>
        <w:ind w:left="300" w:right="339" w:hanging="8"/>
        <w:spacing w:after="0" w:line="260" w:lineRule="auto"/>
        <w:tabs>
          <w:tab w:leader="none" w:pos="591"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honestly and in good faith in what the Indemnitee reasonably believed to be in the best interests of the Company or, with respect to any criminal Proceeding, that Indemnitee had reasonable cause to believe that Indemnitee’s conduct was unlawful.</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7. Procedure for Notification of Claim for Indemnification or Advancement.</w:t>
      </w:r>
    </w:p>
    <w:p>
      <w:pPr>
        <w:spacing w:after="0" w:line="193" w:lineRule="exact"/>
        <w:rPr>
          <w:sz w:val="20"/>
          <w:szCs w:val="20"/>
          <w:color w:val="auto"/>
        </w:rPr>
      </w:pPr>
    </w:p>
    <w:p>
      <w:pPr>
        <w:ind w:left="300" w:right="339" w:hanging="8"/>
        <w:spacing w:after="0" w:line="242" w:lineRule="auto"/>
        <w:tabs>
          <w:tab w:leader="none" w:pos="58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Indemnitee shall notify the Company in writing of any Proceeding with respect to which Indemnitee intends to seek indemnification or advancement of Expenses hereunder as soon as reasonably practicable following the receipt by Indemnitee of written notice thereof. Indemnitee shall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shall not relieve the Company from any obligation it may have to Indemnitee under this Agreement, and any delay or defect in so notifying the Company shall not constitute a waiver by Indemnitee of any rights under this Agreement. The Secretary of the Company shall, promptly upon receipt of such a request for indemnification or advancement of Expenses, advise the Board in writing that Indemnitee has requested indemnification or advancement of Expenses.</w:t>
      </w:r>
    </w:p>
    <w:p>
      <w:pPr>
        <w:spacing w:after="0" w:line="146" w:lineRule="exact"/>
        <w:rPr>
          <w:rFonts w:ascii="Times New Roman" w:cs="Times New Roman" w:eastAsia="Times New Roman" w:hAnsi="Times New Roman"/>
          <w:sz w:val="20"/>
          <w:szCs w:val="20"/>
          <w:b w:val="1"/>
          <w:bCs w:val="1"/>
          <w:color w:val="auto"/>
        </w:rPr>
      </w:pPr>
    </w:p>
    <w:p>
      <w:pPr>
        <w:ind w:left="580" w:hanging="288"/>
        <w:spacing w:after="0"/>
        <w:tabs>
          <w:tab w:leader="none" w:pos="580"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shall be entitled to participate in the Proceeding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1004570</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20"/>
          <w:szCs w:val="20"/>
          <w:b w:val="1"/>
          <w:bCs w:val="1"/>
          <w:color w:val="auto"/>
        </w:rPr>
        <w:t>Section 8. Remedies of Indemnitee.</w:t>
      </w:r>
    </w:p>
    <w:p>
      <w:pPr>
        <w:spacing w:after="0" w:line="179" w:lineRule="exact"/>
        <w:rPr>
          <w:sz w:val="20"/>
          <w:szCs w:val="20"/>
          <w:color w:val="auto"/>
        </w:rPr>
      </w:pPr>
    </w:p>
    <w:p>
      <w:pPr>
        <w:ind w:left="300" w:right="319" w:hanging="8"/>
        <w:spacing w:after="0" w:line="243" w:lineRule="auto"/>
        <w:tabs>
          <w:tab w:leader="none" w:pos="58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(i) a determination is made pursuant to Section 6 that Indemnitee is not entitled to indemnification under this Agreement, (ii) advancement of Expenses is not timely made pursuant to Section 5, (iii) no determination of entitlement to indemnification is timely made pursuant to Section 6(b), or (iv) payment of indemnification is not made within thirty (30) days after a determination has been made that Indemnitee is entitled to indemnification or such determination is deemed to have been made pursuant to Section 6, Indemnitee shall be entitled to seek an adjudication in an Applicable Court of Indemnitee’s entitlement to such indemnification. The Company shall not oppose Indemnitee’s right to seek any such adjudication.</w:t>
      </w:r>
    </w:p>
    <w:p>
      <w:pPr>
        <w:spacing w:after="0" w:line="162" w:lineRule="exact"/>
        <w:rPr>
          <w:rFonts w:ascii="Times New Roman" w:cs="Times New Roman" w:eastAsia="Times New Roman" w:hAnsi="Times New Roman"/>
          <w:sz w:val="20"/>
          <w:szCs w:val="20"/>
          <w:b w:val="1"/>
          <w:bCs w:val="1"/>
          <w:color w:val="auto"/>
        </w:rPr>
      </w:pPr>
    </w:p>
    <w:p>
      <w:pPr>
        <w:ind w:left="300" w:right="319" w:hanging="8"/>
        <w:spacing w:after="0" w:line="244" w:lineRule="auto"/>
        <w:tabs>
          <w:tab w:leader="none" w:pos="591"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a determination shall have been made pursuant to Section 6(b) that Indemnitee is not entitled to indemnification, any judicial proceeding commenced pursuant to this Section 8 shall be conducted in all respects as a de novo trial on the merits, and Indemnitee shall not be prejudiced by reason of the adverse determination under Section 6(b). In any judicial proceeding commenced pursuant to this Section 8, the Company shall have the burden of proving Indemnitee is not entitled to indemnification or advancement of Expenses, as the case may be, and shall not introduce evidence of the determination made pursuant to Section 6 of this Agreement.</w:t>
      </w:r>
    </w:p>
    <w:p>
      <w:pPr>
        <w:spacing w:after="0" w:line="145" w:lineRule="exact"/>
        <w:rPr>
          <w:rFonts w:ascii="Times New Roman" w:cs="Times New Roman" w:eastAsia="Times New Roman" w:hAnsi="Times New Roman"/>
          <w:sz w:val="20"/>
          <w:szCs w:val="20"/>
          <w:b w:val="1"/>
          <w:bCs w:val="1"/>
          <w:color w:val="auto"/>
        </w:rPr>
      </w:pPr>
    </w:p>
    <w:p>
      <w:pPr>
        <w:ind w:left="300" w:right="559" w:hanging="8"/>
        <w:spacing w:after="0" w:line="245" w:lineRule="auto"/>
        <w:tabs>
          <w:tab w:leader="none" w:pos="569"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determination shall have been made pursuant to Section 6(b) that Indemnitee is entitled to indemnification, the Company shall be bound by such determination in any judicial proceeding commenced pursuant to this Section 8, absent (i) a misstatement by Indemnitee of a material fact, or an omission of a material fact necessary to make Indemnitee’s statement not materially misleading in connection with the application for indemnification, or (ii) a prohibition of such indemnification under applicable law.</w:t>
      </w:r>
    </w:p>
    <w:p>
      <w:pPr>
        <w:spacing w:after="0" w:line="143" w:lineRule="exact"/>
        <w:rPr>
          <w:rFonts w:ascii="Times New Roman" w:cs="Times New Roman" w:eastAsia="Times New Roman" w:hAnsi="Times New Roman"/>
          <w:sz w:val="20"/>
          <w:szCs w:val="20"/>
          <w:b w:val="1"/>
          <w:bCs w:val="1"/>
          <w:color w:val="auto"/>
        </w:rPr>
      </w:pPr>
    </w:p>
    <w:p>
      <w:pPr>
        <w:ind w:left="300" w:right="319" w:hanging="8"/>
        <w:spacing w:after="0" w:line="243" w:lineRule="auto"/>
        <w:tabs>
          <w:tab w:leader="none" w:pos="591"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that Indemnitee, pursuant to this Section 8, seeks a judicial adjudication of Indemnitee’s rights under, or to recover damages for breach of, this Agreement, or to recover under any directors’ and officers’ liability insurance policies maintained by the Company, the Company shall pay on Indemnitee’s behalf, in advance, all reasonable expenses (of the types described in the definition of Expenses in Section 13(f)) actually and reasonably incurred by Indemnitee in such judicial adjudication. To the extent that Indemnitee is judicially adjudicated not to be entitled to such indemnification, advancement of expenses or insurance recovery, Indemnitee shall reimburse the Company in full within thirty (30) days of such determination.</w:t>
      </w:r>
    </w:p>
    <w:p>
      <w:pPr>
        <w:spacing w:after="0" w:line="162" w:lineRule="exact"/>
        <w:rPr>
          <w:rFonts w:ascii="Times New Roman" w:cs="Times New Roman" w:eastAsia="Times New Roman" w:hAnsi="Times New Roman"/>
          <w:sz w:val="20"/>
          <w:szCs w:val="20"/>
          <w:b w:val="1"/>
          <w:bCs w:val="1"/>
          <w:color w:val="auto"/>
        </w:rPr>
      </w:pPr>
    </w:p>
    <w:p>
      <w:pPr>
        <w:ind w:left="300" w:right="359" w:hanging="8"/>
        <w:spacing w:after="0" w:line="241" w:lineRule="auto"/>
        <w:tabs>
          <w:tab w:leader="none" w:pos="569"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the intent of the Company that, to the fullest extent permitted by law and save in the event of manifest misfeasance or gross negligence by Indemnitee,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indemnify Indemnitee against any and all Expenses and, if requested by Indemnitee, shall (within thirty (30) days after receipt by the Company of a written request therefor) advance, to the extent not prohibited by applicable law, such expenses to Indemnitee, which are actually incurred by Indemnitee in connection with any action brought by Indemnitee for indemnification or advance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applicable law, whichever is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991870</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8" w:name="page119"/>
    <w:bookmarkEnd w:id="118"/>
    <w:p>
      <w:pPr>
        <w:ind w:left="300" w:right="659" w:hanging="8"/>
        <w:spacing w:after="0" w:line="254" w:lineRule="auto"/>
        <w:tabs>
          <w:tab w:leader="none" w:pos="547" w:val="left"/>
        </w:tabs>
        <w:numPr>
          <w:ilvl w:val="0"/>
          <w:numId w:val="1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under this Agreement shall be required to be made prior to the final disposition of the Proceeding.</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9. Exclusions from Indemnification.</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Notwithstanding any provision in this Agreement, the Company shall not be obligated under this</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Agreement to make any indemnification payment to Indemnitee for:</w:t>
      </w:r>
    </w:p>
    <w:p>
      <w:pPr>
        <w:spacing w:after="0" w:line="153" w:lineRule="exact"/>
        <w:rPr>
          <w:sz w:val="20"/>
          <w:szCs w:val="20"/>
          <w:color w:val="auto"/>
        </w:rPr>
      </w:pPr>
    </w:p>
    <w:p>
      <w:pPr>
        <w:ind w:left="580" w:hanging="288"/>
        <w:spacing w:after="0"/>
        <w:tabs>
          <w:tab w:leader="none" w:pos="58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action prohibited by applicable law or public policy;</w:t>
      </w:r>
    </w:p>
    <w:p>
      <w:pPr>
        <w:spacing w:after="0" w:line="175" w:lineRule="exact"/>
        <w:rPr>
          <w:rFonts w:ascii="Times New Roman" w:cs="Times New Roman" w:eastAsia="Times New Roman" w:hAnsi="Times New Roman"/>
          <w:sz w:val="20"/>
          <w:szCs w:val="20"/>
          <w:b w:val="1"/>
          <w:bCs w:val="1"/>
          <w:color w:val="auto"/>
        </w:rPr>
      </w:pPr>
    </w:p>
    <w:p>
      <w:pPr>
        <w:jc w:val="both"/>
        <w:ind w:left="300" w:right="379" w:hanging="8"/>
        <w:spacing w:after="0" w:line="254" w:lineRule="auto"/>
        <w:tabs>
          <w:tab w:leader="none" w:pos="591"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amount actually paid to or on behalf of Indemnitee under any insurance policy or other indemnity provision, except with respect to any excess beyond the amount paid under any insurance policy or other indemnity provision;</w:t>
      </w:r>
    </w:p>
    <w:p>
      <w:pPr>
        <w:spacing w:after="0" w:line="147" w:lineRule="exact"/>
        <w:rPr>
          <w:rFonts w:ascii="Times New Roman" w:cs="Times New Roman" w:eastAsia="Times New Roman" w:hAnsi="Times New Roman"/>
          <w:sz w:val="20"/>
          <w:szCs w:val="20"/>
          <w:b w:val="1"/>
          <w:bCs w:val="1"/>
          <w:color w:val="auto"/>
        </w:rPr>
      </w:pPr>
    </w:p>
    <w:p>
      <w:pPr>
        <w:ind w:left="300" w:right="319" w:hanging="8"/>
        <w:spacing w:after="0" w:line="254" w:lineRule="auto"/>
        <w:tabs>
          <w:tab w:leader="none" w:pos="569"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 accounting of profits made from the purchase and sale (or sale and purchase) by Indemnitee of securities of the Company within the meaning of Section 16(b)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or similar provisions of applicable statutory law or common law;</w:t>
      </w:r>
    </w:p>
    <w:p>
      <w:pPr>
        <w:spacing w:after="0" w:line="133" w:lineRule="exact"/>
        <w:rPr>
          <w:rFonts w:ascii="Times New Roman" w:cs="Times New Roman" w:eastAsia="Times New Roman" w:hAnsi="Times New Roman"/>
          <w:sz w:val="20"/>
          <w:szCs w:val="20"/>
          <w:b w:val="1"/>
          <w:bCs w:val="1"/>
          <w:color w:val="auto"/>
        </w:rPr>
      </w:pPr>
    </w:p>
    <w:p>
      <w:pPr>
        <w:ind w:left="300" w:right="599" w:hanging="8"/>
        <w:spacing w:after="0" w:line="249" w:lineRule="auto"/>
        <w:tabs>
          <w:tab w:leader="none" w:pos="591"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39" w:lineRule="exact"/>
        <w:rPr>
          <w:rFonts w:ascii="Times New Roman" w:cs="Times New Roman" w:eastAsia="Times New Roman" w:hAnsi="Times New Roman"/>
          <w:sz w:val="20"/>
          <w:szCs w:val="20"/>
          <w:b w:val="1"/>
          <w:bCs w:val="1"/>
          <w:color w:val="auto"/>
        </w:rPr>
      </w:pPr>
    </w:p>
    <w:p>
      <w:pPr>
        <w:ind w:left="300" w:right="319" w:hanging="8"/>
        <w:spacing w:after="0" w:line="243" w:lineRule="auto"/>
        <w:tabs>
          <w:tab w:leader="none" w:pos="569"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Proceeding is one brought pursuant to Section 8 to enforce or interpret Indemnitee’s rights under this Agreement or under any directors’ and officers’ liability insurance policies maintained by the Company, (iii) such payment arises in connection with any mandatory counterclaim or cross claim brought or raised by Indemnitee in any Proceeding (or any part of any Proceeding) or (iv) the Company provides the indemnification, in its sole discretion, pursuant to the powers vested in the Company under applicable law.</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10. Limitation of Indemnity.</w:t>
      </w:r>
    </w:p>
    <w:p>
      <w:pPr>
        <w:spacing w:after="0" w:line="179" w:lineRule="exact"/>
        <w:rPr>
          <w:sz w:val="20"/>
          <w:szCs w:val="20"/>
          <w:color w:val="auto"/>
        </w:rPr>
      </w:pPr>
    </w:p>
    <w:p>
      <w:pPr>
        <w:ind w:left="300" w:right="479"/>
        <w:spacing w:after="0" w:line="244" w:lineRule="auto"/>
        <w:rPr>
          <w:sz w:val="20"/>
          <w:szCs w:val="20"/>
          <w:color w:val="auto"/>
        </w:rPr>
      </w:pPr>
      <w:r>
        <w:rPr>
          <w:rFonts w:ascii="Times New Roman" w:cs="Times New Roman" w:eastAsia="Times New Roman" w:hAnsi="Times New Roman"/>
          <w:sz w:val="20"/>
          <w:szCs w:val="20"/>
          <w:color w:val="auto"/>
        </w:rPr>
        <w:t>Notwithstanding any other provision of this Agreement, Indemnitee shall not be indemnified under this Agreement to the extent that such indemnification is inconsistent with the Articles, prohibited by applicable law or would cause this Agreement or any part of it to be treated as void or unenforceable for any reason whatsoever. To the extent that any change of applicable law permits the broader indemnification of Indemnitee with respect to any Proceeding than is provided under the Articles or this Agreement, Indemnitee shall be entitled to such broader indemnification and this Agreement shall be deemed to be amended to such extent.</w:t>
      </w:r>
    </w:p>
    <w:p>
      <w:pPr>
        <w:spacing w:after="0" w:line="1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11. Non-Exclusivity; Survival of Rights; Insurance; Subrogation.</w:t>
      </w:r>
    </w:p>
    <w:p>
      <w:pPr>
        <w:spacing w:after="0" w:line="189" w:lineRule="exact"/>
        <w:rPr>
          <w:sz w:val="20"/>
          <w:szCs w:val="20"/>
          <w:color w:val="auto"/>
        </w:rPr>
      </w:pPr>
    </w:p>
    <w:p>
      <w:pPr>
        <w:ind w:left="300" w:right="679" w:hanging="8"/>
        <w:spacing w:after="0" w:line="260" w:lineRule="auto"/>
        <w:tabs>
          <w:tab w:leader="none" w:pos="580" w:val="left"/>
        </w:tabs>
        <w:numPr>
          <w:ilvl w:val="0"/>
          <w:numId w:val="1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Non-Exclusivity. </w:t>
      </w:r>
      <w:r>
        <w:rPr>
          <w:rFonts w:ascii="Times New Roman" w:cs="Times New Roman" w:eastAsia="Times New Roman" w:hAnsi="Times New Roman"/>
          <w:sz w:val="19"/>
          <w:szCs w:val="19"/>
          <w:color w:val="auto"/>
        </w:rPr>
        <w:t>The rights of indemnification and advancement of Expenses as provided by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shall not be deemed exclusive of any other rights to which Indemnitee may at any time be entitled under applicable law, the Articles, any agreement, a vote of shareholders, a resolution of the Board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applicable law, whether by statute or judicial decision,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975360</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9" w:name="page120"/>
    <w:bookmarkEnd w:id="119"/>
    <w:p>
      <w:pPr>
        <w:ind w:left="300" w:right="379"/>
        <w:spacing w:after="0" w:line="244" w:lineRule="auto"/>
        <w:rPr>
          <w:sz w:val="20"/>
          <w:szCs w:val="20"/>
          <w:color w:val="auto"/>
        </w:rPr>
      </w:pPr>
      <w:r>
        <w:rPr>
          <w:rFonts w:ascii="Times New Roman" w:cs="Times New Roman" w:eastAsia="Times New Roman" w:hAnsi="Times New Roman"/>
          <w:sz w:val="20"/>
          <w:szCs w:val="20"/>
          <w:color w:val="auto"/>
        </w:rPr>
        <w:t>greater indemnification or advancement of Expenses than would be afforded currently under the Articles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1" w:lineRule="exact"/>
        <w:rPr>
          <w:sz w:val="20"/>
          <w:szCs w:val="20"/>
          <w:color w:val="auto"/>
        </w:rPr>
      </w:pPr>
    </w:p>
    <w:p>
      <w:pPr>
        <w:ind w:left="300" w:right="339" w:hanging="8"/>
        <w:spacing w:after="0" w:line="242" w:lineRule="auto"/>
        <w:tabs>
          <w:tab w:leader="none" w:pos="591"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Insurance. </w:t>
      </w:r>
      <w:r>
        <w:rPr>
          <w:rFonts w:ascii="Times New Roman" w:cs="Times New Roman" w:eastAsia="Times New Roman" w:hAnsi="Times New Roman"/>
          <w:sz w:val="20"/>
          <w:szCs w:val="20"/>
          <w:color w:val="auto"/>
        </w:rPr>
        <w:t>To the extent that the Company maintains an insurance policy or policies providing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liability insurance for directors, officers, employees, or agents or fiduciaries of the Company or of any other Enterprise,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use all reasonable endeavours thereafter to cause such insurers to pay, on behalf of the Indemnitee, all amounts payable as a result of such proceeding in accordance with the terms of such policies. Indemnitee agrees to assist the Company’s efforts to cause the insurers to pay such amounts and shall comply with the terms of such policies, including selection of approved panel counsel, if required.</w:t>
      </w:r>
    </w:p>
    <w:p>
      <w:pPr>
        <w:spacing w:after="0" w:line="160" w:lineRule="exact"/>
        <w:rPr>
          <w:rFonts w:ascii="Times New Roman" w:cs="Times New Roman" w:eastAsia="Times New Roman" w:hAnsi="Times New Roman"/>
          <w:sz w:val="20"/>
          <w:szCs w:val="20"/>
          <w:b w:val="1"/>
          <w:bCs w:val="1"/>
          <w:color w:val="auto"/>
        </w:rPr>
      </w:pPr>
    </w:p>
    <w:p>
      <w:pPr>
        <w:ind w:left="300" w:right="319" w:hanging="8"/>
        <w:spacing w:after="0" w:line="242" w:lineRule="auto"/>
        <w:tabs>
          <w:tab w:leader="none" w:pos="569"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Subrogation. </w:t>
      </w:r>
      <w:r>
        <w:rPr>
          <w:rFonts w:ascii="Times New Roman" w:cs="Times New Roman" w:eastAsia="Times New Roman" w:hAnsi="Times New Roman"/>
          <w:sz w:val="20"/>
          <w:szCs w:val="20"/>
          <w:color w:val="auto"/>
        </w:rPr>
        <w:t>Except as provided in Section 11(b), (i) in the event of any payment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(ii) the Company shall not be liable under this Agreement to make any payment of amounts otherwise indemnifiable hereunder if and to the extent that Indemnitee has otherwise actually received such payment under any insurance policy, contract, agreement or otherwise; and (iii) the Company’s obligation to indemnify or advance Expenses hereunder to Indemnitee who is or was serving at the express request of the Company as a director, officer, employee or agent of any other Enterprise shall be reduced by any amount Indemnitee has actually received as indemnification or advancement of expenses from such other Enterprise.</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12. Duration and Successors.</w:t>
      </w:r>
    </w:p>
    <w:p>
      <w:pPr>
        <w:spacing w:after="0" w:line="175" w:lineRule="exact"/>
        <w:rPr>
          <w:sz w:val="20"/>
          <w:szCs w:val="20"/>
          <w:color w:val="auto"/>
        </w:rPr>
      </w:pPr>
    </w:p>
    <w:p>
      <w:pPr>
        <w:ind w:left="300" w:right="379" w:hanging="8"/>
        <w:spacing w:after="0" w:line="245" w:lineRule="auto"/>
        <w:tabs>
          <w:tab w:leader="none" w:pos="580"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Duration. </w:t>
      </w:r>
      <w:r>
        <w:rPr>
          <w:rFonts w:ascii="Times New Roman" w:cs="Times New Roman" w:eastAsia="Times New Roman" w:hAnsi="Times New Roman"/>
          <w:sz w:val="20"/>
          <w:szCs w:val="20"/>
          <w:color w:val="auto"/>
        </w:rPr>
        <w:t>All agreements and obligations of the Company contained herein shall continue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Indemnitee is an officer or director of the Company (or is or was serving at the express request of the Company as a director, officer, employee or agent of another Enterprise) and shall continue thereafter for a period of ten (10) years thereafter so long as Indemnitee shall be subject to any Proceeding (or any proceeding commenced under Section 8) by reason of Indemnitee’s Corporate Status, whether or not Indemnitee is acting or serving in any such capacity at the time any liability or expense is incurred for which indemnification can be provided under this Agreement.</w:t>
      </w:r>
    </w:p>
    <w:p>
      <w:pPr>
        <w:spacing w:after="0" w:line="152" w:lineRule="exact"/>
        <w:rPr>
          <w:rFonts w:ascii="Times New Roman" w:cs="Times New Roman" w:eastAsia="Times New Roman" w:hAnsi="Times New Roman"/>
          <w:sz w:val="20"/>
          <w:szCs w:val="20"/>
          <w:b w:val="1"/>
          <w:bCs w:val="1"/>
          <w:color w:val="auto"/>
        </w:rPr>
      </w:pPr>
    </w:p>
    <w:p>
      <w:pPr>
        <w:ind w:left="300" w:right="439" w:hanging="8"/>
        <w:spacing w:after="0" w:line="243" w:lineRule="auto"/>
        <w:tabs>
          <w:tab w:leader="none" w:pos="591"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Agreement shall be binding upon and inure to the benefit of and be enforceable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and their respective successors (including any direct or indirect successor by purchase, merger, amalgamation, consolidation, sale of all or substantially all of the business or assets of the Company, or otherwise), assigns, spouses, heirs, executors and personal and legal representatives. The Company shall require and cause any successor (whether direct or indirect by purchase, merger, amalgamation, consolidation, sale of all or substantially all of the business or assets of the Company, or otherwise) to all or substantially all of the business 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986155</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20"/>
          <w:szCs w:val="20"/>
          <w:b w:val="1"/>
          <w:bCs w:val="1"/>
          <w:color w:val="auto"/>
        </w:rPr>
        <w:t>Section 13. Definitions.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For purposes of this Agreement:</w:t>
      </w:r>
    </w:p>
    <w:p>
      <w:pPr>
        <w:spacing w:after="0" w:line="185" w:lineRule="exact"/>
        <w:rPr>
          <w:sz w:val="20"/>
          <w:szCs w:val="20"/>
          <w:color w:val="auto"/>
        </w:rPr>
      </w:pPr>
    </w:p>
    <w:p>
      <w:pPr>
        <w:ind w:left="300" w:right="579" w:hanging="8"/>
        <w:spacing w:after="0" w:line="273" w:lineRule="auto"/>
        <w:tabs>
          <w:tab w:leader="none" w:pos="58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“Applicable Courts” </w:t>
      </w:r>
      <w:r>
        <w:rPr>
          <w:rFonts w:ascii="Times New Roman" w:cs="Times New Roman" w:eastAsia="Times New Roman" w:hAnsi="Times New Roman"/>
          <w:sz w:val="20"/>
          <w:szCs w:val="20"/>
          <w:color w:val="auto"/>
        </w:rPr>
        <w:t>means the courts of the Island of Jersey, and "</w:t>
      </w:r>
      <w:r>
        <w:rPr>
          <w:rFonts w:ascii="Times New Roman" w:cs="Times New Roman" w:eastAsia="Times New Roman" w:hAnsi="Times New Roman"/>
          <w:sz w:val="20"/>
          <w:szCs w:val="20"/>
          <w:b w:val="1"/>
          <w:bCs w:val="1"/>
          <w:color w:val="auto"/>
        </w:rPr>
        <w:t>Applicable Court</w:t>
      </w:r>
      <w:r>
        <w:rPr>
          <w:rFonts w:ascii="Times New Roman" w:cs="Times New Roman" w:eastAsia="Times New Roman" w:hAnsi="Times New Roman"/>
          <w:sz w:val="20"/>
          <w:szCs w:val="20"/>
          <w:color w:val="auto"/>
        </w:rPr>
        <w:t>" means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court.</w:t>
      </w:r>
    </w:p>
    <w:p>
      <w:pPr>
        <w:spacing w:after="0" w:line="111" w:lineRule="exact"/>
        <w:rPr>
          <w:rFonts w:ascii="Times New Roman" w:cs="Times New Roman" w:eastAsia="Times New Roman" w:hAnsi="Times New Roman"/>
          <w:sz w:val="20"/>
          <w:szCs w:val="20"/>
          <w:b w:val="1"/>
          <w:bCs w:val="1"/>
          <w:color w:val="auto"/>
        </w:rPr>
      </w:pPr>
    </w:p>
    <w:p>
      <w:pPr>
        <w:ind w:left="300" w:right="299" w:hanging="8"/>
        <w:spacing w:after="0" w:line="273" w:lineRule="auto"/>
        <w:tabs>
          <w:tab w:leader="none" w:pos="591"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“Business Day” </w:t>
      </w:r>
      <w:r>
        <w:rPr>
          <w:rFonts w:ascii="Times New Roman" w:cs="Times New Roman" w:eastAsia="Times New Roman" w:hAnsi="Times New Roman"/>
          <w:sz w:val="20"/>
          <w:szCs w:val="20"/>
          <w:color w:val="auto"/>
        </w:rPr>
        <w:t>means any day other than a Saturday or a Sunday, except for any day on which banks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generally closed for business in either Jersey or the United Kingdom.</w:t>
      </w:r>
    </w:p>
    <w:p>
      <w:pPr>
        <w:spacing w:after="0" w:line="111" w:lineRule="exact"/>
        <w:rPr>
          <w:rFonts w:ascii="Times New Roman" w:cs="Times New Roman" w:eastAsia="Times New Roman" w:hAnsi="Times New Roman"/>
          <w:sz w:val="20"/>
          <w:szCs w:val="20"/>
          <w:b w:val="1"/>
          <w:bCs w:val="1"/>
          <w:color w:val="auto"/>
        </w:rPr>
      </w:pPr>
    </w:p>
    <w:p>
      <w:pPr>
        <w:ind w:left="300" w:right="339" w:hanging="8"/>
        <w:spacing w:after="0" w:line="250" w:lineRule="auto"/>
        <w:tabs>
          <w:tab w:leader="none" w:pos="569"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Status” </w:t>
      </w:r>
      <w:r>
        <w:rPr>
          <w:rFonts w:ascii="Times New Roman" w:cs="Times New Roman" w:eastAsia="Times New Roman" w:hAnsi="Times New Roman"/>
          <w:sz w:val="20"/>
          <w:szCs w:val="20"/>
          <w:color w:val="auto"/>
        </w:rPr>
        <w:t>describes the status of a person who is or was a director, officer, employee,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fiduciary of the Company or of any other corporation, company, partnership, joint venture, trust, employee benefit plan or other enterprise that such person is or was serving at the express request of the Company.</w:t>
      </w:r>
    </w:p>
    <w:p>
      <w:pPr>
        <w:spacing w:after="0" w:line="148" w:lineRule="exact"/>
        <w:rPr>
          <w:rFonts w:ascii="Times New Roman" w:cs="Times New Roman" w:eastAsia="Times New Roman" w:hAnsi="Times New Roman"/>
          <w:sz w:val="20"/>
          <w:szCs w:val="20"/>
          <w:b w:val="1"/>
          <w:bCs w:val="1"/>
          <w:color w:val="auto"/>
        </w:rPr>
      </w:pPr>
    </w:p>
    <w:p>
      <w:pPr>
        <w:ind w:left="300" w:right="719" w:hanging="8"/>
        <w:spacing w:after="0" w:line="273" w:lineRule="auto"/>
        <w:tabs>
          <w:tab w:leader="none" w:pos="591"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“Disinterested Director” </w:t>
      </w:r>
      <w:r>
        <w:rPr>
          <w:rFonts w:ascii="Times New Roman" w:cs="Times New Roman" w:eastAsia="Times New Roman" w:hAnsi="Times New Roman"/>
          <w:sz w:val="20"/>
          <w:szCs w:val="20"/>
          <w:color w:val="auto"/>
        </w:rPr>
        <w:t>means a director of the Company who is not and was not a party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Proceeding in respect of which indemnification is sought by Indemnitee.</w:t>
      </w:r>
    </w:p>
    <w:p>
      <w:pPr>
        <w:spacing w:after="0" w:line="111" w:lineRule="exact"/>
        <w:rPr>
          <w:rFonts w:ascii="Times New Roman" w:cs="Times New Roman" w:eastAsia="Times New Roman" w:hAnsi="Times New Roman"/>
          <w:sz w:val="20"/>
          <w:szCs w:val="20"/>
          <w:b w:val="1"/>
          <w:bCs w:val="1"/>
          <w:color w:val="auto"/>
        </w:rPr>
      </w:pPr>
    </w:p>
    <w:p>
      <w:pPr>
        <w:ind w:left="300" w:right="639" w:hanging="8"/>
        <w:spacing w:after="0" w:line="256" w:lineRule="auto"/>
        <w:tabs>
          <w:tab w:leader="none" w:pos="569"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“Enterprise” </w:t>
      </w:r>
      <w:r>
        <w:rPr>
          <w:rFonts w:ascii="Times New Roman" w:cs="Times New Roman" w:eastAsia="Times New Roman" w:hAnsi="Times New Roman"/>
          <w:sz w:val="20"/>
          <w:szCs w:val="20"/>
          <w:color w:val="auto"/>
        </w:rPr>
        <w:t>means the Company and any other corporation, company, partnership, joint venture,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 employee benefit plan or other enterprise that Indemnitee is or was serving at the request of the Company as a director, officer, employee, agent or fiduciary.</w:t>
      </w:r>
    </w:p>
    <w:p>
      <w:pPr>
        <w:spacing w:after="0" w:line="128" w:lineRule="exact"/>
        <w:rPr>
          <w:rFonts w:ascii="Times New Roman" w:cs="Times New Roman" w:eastAsia="Times New Roman" w:hAnsi="Times New Roman"/>
          <w:sz w:val="20"/>
          <w:szCs w:val="20"/>
          <w:b w:val="1"/>
          <w:bCs w:val="1"/>
          <w:color w:val="auto"/>
        </w:rPr>
      </w:pPr>
    </w:p>
    <w:p>
      <w:pPr>
        <w:ind w:left="300" w:right="339" w:hanging="8"/>
        <w:spacing w:after="0" w:line="241" w:lineRule="auto"/>
        <w:tabs>
          <w:tab w:leader="none" w:pos="547"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shall include all reasonable and documented attorneys’ fees, retainers, court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transcript costs, fees of experts, witness fees, necessary travel expenses, duplicating costs, printing and binding costs, telephone charges, postage, delivery service fees,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8(d) only, Expenses incurred by Indemnitee in connection with the interpretation, enforcement or defense of Indemnitee’s rights under this Agreement, the Articles or under any directors’ and officers’ liability insurance policies maintained by the Company, by litigation or otherwise. Expenses, however, shall not include amounts paid in settlement by Indemnitee or the amount of judgments or fines against Indemnitee.</w:t>
      </w:r>
    </w:p>
    <w:p>
      <w:pPr>
        <w:spacing w:after="0" w:line="164" w:lineRule="exact"/>
        <w:rPr>
          <w:rFonts w:ascii="Times New Roman" w:cs="Times New Roman" w:eastAsia="Times New Roman" w:hAnsi="Times New Roman"/>
          <w:sz w:val="20"/>
          <w:szCs w:val="20"/>
          <w:b w:val="1"/>
          <w:bCs w:val="1"/>
          <w:color w:val="auto"/>
        </w:rPr>
      </w:pPr>
    </w:p>
    <w:p>
      <w:pPr>
        <w:ind w:left="300" w:right="339" w:hanging="8"/>
        <w:spacing w:after="0" w:line="242" w:lineRule="auto"/>
        <w:tabs>
          <w:tab w:leader="none" w:pos="58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“Independent Counsel” </w:t>
      </w:r>
      <w:r>
        <w:rPr>
          <w:rFonts w:ascii="Times New Roman" w:cs="Times New Roman" w:eastAsia="Times New Roman" w:hAnsi="Times New Roman"/>
          <w:sz w:val="20"/>
          <w:szCs w:val="20"/>
          <w:color w:val="auto"/>
        </w:rPr>
        <w:t>means a law firm, or a member of a law firm, that is experienced in matters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documented fees of the Independent Counsel referred to above and to indemnify such counsel to the fullest extent permitted by applicable law against any and all Expenses, claims, liabilities and damages arising out of or relating to this Agreement or its engagement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989330</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1" w:name="page122"/>
    <w:bookmarkEnd w:id="121"/>
    <w:p>
      <w:pPr>
        <w:ind w:left="300" w:right="339" w:hanging="8"/>
        <w:spacing w:after="0" w:line="247" w:lineRule="auto"/>
        <w:tabs>
          <w:tab w:leader="none" w:pos="591"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has the meaning as set forth in Sections 13(d) and 14(d) of the Exchange Act;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however, that Person excludes (i) the Company, (ii) any trustee or other fiduciary holding securities under an employee benefit plan of the Company, and (iii) any corporation owned, directly or indirectly, by the shareholders of the Company in substantially the same proportions as their ownership of shares of the Company.</w:t>
      </w:r>
    </w:p>
    <w:p>
      <w:pPr>
        <w:spacing w:after="0" w:line="139" w:lineRule="exact"/>
        <w:rPr>
          <w:rFonts w:ascii="Times New Roman" w:cs="Times New Roman" w:eastAsia="Times New Roman" w:hAnsi="Times New Roman"/>
          <w:sz w:val="20"/>
          <w:szCs w:val="20"/>
          <w:b w:val="1"/>
          <w:bCs w:val="1"/>
          <w:color w:val="auto"/>
        </w:rPr>
      </w:pPr>
    </w:p>
    <w:p>
      <w:pPr>
        <w:ind w:left="300" w:right="339" w:hanging="8"/>
        <w:spacing w:after="0" w:line="242" w:lineRule="auto"/>
        <w:tabs>
          <w:tab w:leader="none" w:pos="536"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“Proceeding” </w:t>
      </w:r>
      <w:r>
        <w:rPr>
          <w:rFonts w:ascii="Times New Roman" w:cs="Times New Roman" w:eastAsia="Times New Roman" w:hAnsi="Times New Roman"/>
          <w:sz w:val="20"/>
          <w:szCs w:val="20"/>
          <w:color w:val="auto"/>
        </w:rPr>
        <w:t>includes any threatened, pending or completed action, suit, claim, counterclaim, cross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including any appeal therefrom, in which Indemnitee was, is or will be involved as a party or otherwise, by reason of Indemnitee’s Corporate Status, by reason of any action taken by Indemnitee, or of any inaction on Indemnitee’s part, while acting in Indemnitee’s Corporate Status; in each case whether or not Indemnitee is acting or serving in any such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Section 8 to enforce Indemnitee’s rights under this Agreement. A Proceeding also includes a situation the Indemnitee believes in good faith may lead to or culminate in the institution of a Proceeding.</w:t>
      </w:r>
    </w:p>
    <w:p>
      <w:pPr>
        <w:spacing w:after="0" w:line="157" w:lineRule="exact"/>
        <w:rPr>
          <w:rFonts w:ascii="Times New Roman" w:cs="Times New Roman" w:eastAsia="Times New Roman" w:hAnsi="Times New Roman"/>
          <w:sz w:val="20"/>
          <w:szCs w:val="20"/>
          <w:b w:val="1"/>
          <w:bCs w:val="1"/>
          <w:color w:val="auto"/>
        </w:rPr>
      </w:pPr>
    </w:p>
    <w:p>
      <w:pPr>
        <w:ind w:left="300" w:right="399" w:hanging="8"/>
        <w:spacing w:after="0" w:line="261" w:lineRule="auto"/>
        <w:tabs>
          <w:tab w:leader="none" w:pos="547" w:val="left"/>
        </w:tabs>
        <w:numPr>
          <w:ilvl w:val="0"/>
          <w:numId w:val="1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“Subsidiary” </w:t>
      </w:r>
      <w:r>
        <w:rPr>
          <w:rFonts w:ascii="Times New Roman" w:cs="Times New Roman" w:eastAsia="Times New Roman" w:hAnsi="Times New Roman"/>
          <w:sz w:val="19"/>
          <w:szCs w:val="19"/>
          <w:color w:val="auto"/>
        </w:rPr>
        <w:t>means any corporation, company, partnership, limited liability company, joint venture,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trust or other entity of which the Company owns (either directly or through or together with another Subsidiary of the Company) either (i) a general partner, managing member or other similar interest or (ii)</w:t>
      </w:r>
    </w:p>
    <w:p>
      <w:pPr>
        <w:spacing w:after="0" w:line="1" w:lineRule="exact"/>
        <w:rPr>
          <w:rFonts w:ascii="Times New Roman" w:cs="Times New Roman" w:eastAsia="Times New Roman" w:hAnsi="Times New Roman"/>
          <w:sz w:val="19"/>
          <w:szCs w:val="19"/>
          <w:b w:val="1"/>
          <w:bCs w:val="1"/>
          <w:color w:val="auto"/>
        </w:rPr>
      </w:pPr>
    </w:p>
    <w:p>
      <w:pPr>
        <w:ind w:left="300" w:right="599"/>
        <w:spacing w:after="0" w:line="241"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more than 50% of the voting power of the voting capital equity interests of such corporation, partnership, company, limited liability company, joint venture or other entity, or (B) more than 50% of the outstanding voting shares, voting capital stock or other voting equity interests of such corporation, company, partnership, limited liability company, joint venture or other entity.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14. Change in Control.</w:t>
      </w:r>
    </w:p>
    <w:p>
      <w:pPr>
        <w:spacing w:after="0" w:line="175" w:lineRule="exact"/>
        <w:rPr>
          <w:sz w:val="20"/>
          <w:szCs w:val="20"/>
          <w:color w:val="auto"/>
        </w:rPr>
      </w:pPr>
    </w:p>
    <w:p>
      <w:pPr>
        <w:ind w:left="300" w:right="319" w:hanging="8"/>
        <w:spacing w:after="0" w:line="273" w:lineRule="auto"/>
        <w:tabs>
          <w:tab w:leader="none" w:pos="58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 </w:t>
      </w:r>
      <w:r>
        <w:rPr>
          <w:rFonts w:ascii="Times New Roman" w:cs="Times New Roman" w:eastAsia="Times New Roman" w:hAnsi="Times New Roman"/>
          <w:sz w:val="20"/>
          <w:szCs w:val="20"/>
          <w:color w:val="auto"/>
        </w:rPr>
        <w:t>A “Change in Control” shall be deemed to occur upon the earliest to occur after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of any of the following events:</w:t>
      </w:r>
    </w:p>
    <w:p>
      <w:pPr>
        <w:spacing w:after="0" w:line="125" w:lineRule="exact"/>
        <w:rPr>
          <w:sz w:val="20"/>
          <w:szCs w:val="20"/>
          <w:color w:val="auto"/>
        </w:rPr>
      </w:pPr>
    </w:p>
    <w:p>
      <w:pPr>
        <w:ind w:left="300" w:right="319" w:hanging="8"/>
        <w:spacing w:after="0" w:line="246" w:lineRule="auto"/>
        <w:tabs>
          <w:tab w:leader="none" w:pos="53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Acquisition of Shares by Third Party. </w:t>
      </w:r>
      <w:r>
        <w:rPr>
          <w:rFonts w:ascii="Times New Roman" w:cs="Times New Roman" w:eastAsia="Times New Roman" w:hAnsi="Times New Roman"/>
          <w:sz w:val="20"/>
          <w:szCs w:val="20"/>
          <w:color w:val="auto"/>
        </w:rPr>
        <w:t>Any Person (as defined in Section 13(h)) becomes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beneficial owner (as defined in Rule 13d-3 under the Exchange Act), directly or indirectly, of shares of the Company representing fifteen percent (15%) or more of the combined voting power of the Company’s then outstanding shares unless the change in relative beneficial ownership of the Company’s shares by any Person results solely from a reduction in the aggregate number of outstanding shares entitled to vote generally in the election of directors;</w:t>
      </w:r>
    </w:p>
    <w:p>
      <w:pPr>
        <w:spacing w:after="0" w:line="138" w:lineRule="exact"/>
        <w:rPr>
          <w:rFonts w:ascii="Times New Roman" w:cs="Times New Roman" w:eastAsia="Times New Roman" w:hAnsi="Times New Roman"/>
          <w:sz w:val="20"/>
          <w:szCs w:val="20"/>
          <w:color w:val="auto"/>
        </w:rPr>
      </w:pPr>
    </w:p>
    <w:p>
      <w:pPr>
        <w:ind w:left="300" w:right="459" w:hanging="8"/>
        <w:spacing w:after="0" w:line="258" w:lineRule="auto"/>
        <w:tabs>
          <w:tab w:leader="none" w:pos="591"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Change in Board of Directors. </w:t>
      </w:r>
      <w:r>
        <w:rPr>
          <w:rFonts w:ascii="Times New Roman" w:cs="Times New Roman" w:eastAsia="Times New Roman" w:hAnsi="Times New Roman"/>
          <w:sz w:val="19"/>
          <w:szCs w:val="19"/>
          <w:color w:val="auto"/>
        </w:rPr>
        <w:t>During any period of two (2) consecutive years (not including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14(a)(i), 14(a)(iii) or 14(a)(iv)) whose election by the Board or nomination for election by the Company’s shareholders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32" w:lineRule="exact"/>
        <w:rPr>
          <w:rFonts w:ascii="Times New Roman" w:cs="Times New Roman" w:eastAsia="Times New Roman" w:hAnsi="Times New Roman"/>
          <w:sz w:val="19"/>
          <w:szCs w:val="19"/>
          <w:color w:val="auto"/>
        </w:rPr>
      </w:pPr>
    </w:p>
    <w:p>
      <w:pPr>
        <w:ind w:left="300" w:right="479" w:hanging="8"/>
        <w:spacing w:after="0" w:line="276" w:lineRule="auto"/>
        <w:tabs>
          <w:tab w:leader="none" w:pos="646"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Corporate Transactions. </w:t>
      </w:r>
      <w:r>
        <w:rPr>
          <w:rFonts w:ascii="Times New Roman" w:cs="Times New Roman" w:eastAsia="Times New Roman" w:hAnsi="Times New Roman"/>
          <w:sz w:val="19"/>
          <w:szCs w:val="19"/>
          <w:color w:val="auto"/>
        </w:rPr>
        <w:t>The effective date of a merger or consolidation of the Company with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entity, other than a merger or consolidation which would result in the voting securities of the Company outstanding immediately prior to such merger or consolidation continuing to represent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974725</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2" w:name="page123"/>
    <w:bookmarkEnd w:id="122"/>
    <w:p>
      <w:pPr>
        <w:ind w:left="300" w:right="319"/>
        <w:spacing w:after="0" w:line="249" w:lineRule="auto"/>
        <w:rPr>
          <w:sz w:val="20"/>
          <w:szCs w:val="20"/>
          <w:color w:val="auto"/>
        </w:rPr>
      </w:pPr>
      <w:r>
        <w:rPr>
          <w:rFonts w:ascii="Times New Roman" w:cs="Times New Roman" w:eastAsia="Times New Roman" w:hAnsi="Times New Roman"/>
          <w:sz w:val="20"/>
          <w:szCs w:val="20"/>
          <w:color w:val="auto"/>
        </w:rPr>
        <w:t>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spacing w:after="0" w:line="135" w:lineRule="exact"/>
        <w:rPr>
          <w:sz w:val="20"/>
          <w:szCs w:val="20"/>
          <w:color w:val="auto"/>
        </w:rPr>
      </w:pPr>
    </w:p>
    <w:p>
      <w:pPr>
        <w:ind w:left="300" w:right="479" w:hanging="8"/>
        <w:spacing w:after="0" w:line="256" w:lineRule="auto"/>
        <w:tabs>
          <w:tab w:leader="none" w:pos="63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Liquidation. </w:t>
      </w:r>
      <w:r>
        <w:rPr>
          <w:rFonts w:ascii="Times New Roman" w:cs="Times New Roman" w:eastAsia="Times New Roman" w:hAnsi="Times New Roman"/>
          <w:sz w:val="20"/>
          <w:szCs w:val="20"/>
          <w:color w:val="auto"/>
        </w:rPr>
        <w:t>The approval by the shareholders of the Company of a complete liquidation, winding-up or dissolution of the Company or an agreement for the sale or disposition by the Company of all or substantially all of the Company’s assets.</w:t>
      </w:r>
    </w:p>
    <w:p>
      <w:pPr>
        <w:spacing w:after="0" w:line="146" w:lineRule="exact"/>
        <w:rPr>
          <w:sz w:val="20"/>
          <w:szCs w:val="20"/>
          <w:color w:val="auto"/>
        </w:rPr>
      </w:pPr>
    </w:p>
    <w:p>
      <w:pPr>
        <w:ind w:left="300" w:right="399" w:hanging="8"/>
        <w:spacing w:after="0" w:line="242" w:lineRule="auto"/>
        <w:tabs>
          <w:tab w:leader="none" w:pos="591"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Change in Control, the determination of Indemnitee’s entitlement to indemnification shall be made by written opinion provided by Independent Counsel selected by Indemnitee (unless Indemnitee requests such selection be made by the Board). The party selecting Independent Counsel pursuant to this Section 14(b) shall provide written notice of the selection to the other party. The notified party may, within ten (10) days after receiving written notice of the selection of Independent Counsel, deliver to the selecting party a written objection to such selection; provided, however, that such objection may be asserted only on the ground that the Independent Counsel so selected does not meet the requirements of “Independent Counsel” as defined in this Agreement, and the objection shall set forth with particularity the factual basis of such assertion. Absent a proper and timely objection, the person so selected shall act as Independent Counsel.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15. Enforcement.</w:t>
      </w:r>
    </w:p>
    <w:p>
      <w:pPr>
        <w:spacing w:after="0" w:line="179" w:lineRule="exact"/>
        <w:rPr>
          <w:sz w:val="20"/>
          <w:szCs w:val="20"/>
          <w:color w:val="auto"/>
        </w:rPr>
      </w:pPr>
    </w:p>
    <w:p>
      <w:pPr>
        <w:ind w:left="300" w:right="339" w:hanging="8"/>
        <w:spacing w:after="0" w:line="249" w:lineRule="auto"/>
        <w:tabs>
          <w:tab w:leader="none" w:pos="58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expressly confirms and agrees that it has entered into this Agreement and assumes the obligations imposed on it hereby in order to induce Indemnitee to serve as a director of the Company, and the Company acknowledges that Indemnitee is relying upon this Agreement in serving as a director of the Company.</w:t>
      </w:r>
    </w:p>
    <w:p>
      <w:pPr>
        <w:spacing w:after="0" w:line="152" w:lineRule="exact"/>
        <w:rPr>
          <w:rFonts w:ascii="Times New Roman" w:cs="Times New Roman" w:eastAsia="Times New Roman" w:hAnsi="Times New Roman"/>
          <w:sz w:val="20"/>
          <w:szCs w:val="20"/>
          <w:b w:val="1"/>
          <w:bCs w:val="1"/>
          <w:color w:val="auto"/>
        </w:rPr>
      </w:pPr>
    </w:p>
    <w:p>
      <w:pPr>
        <w:ind w:left="300" w:right="379" w:hanging="8"/>
        <w:spacing w:after="0" w:line="295" w:lineRule="auto"/>
        <w:tabs>
          <w:tab w:leader="none" w:pos="591" w:val="left"/>
        </w:tabs>
        <w:numPr>
          <w:ilvl w:val="0"/>
          <w:numId w:val="1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Company shall not seek from a court, or agree to, a “bar order” which would have the effect of prohibiting or limiting the Indemnitee’s rights to receive advancement of expenses under this Agreement.</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16. Severability.</w:t>
      </w:r>
    </w:p>
    <w:p>
      <w:pPr>
        <w:spacing w:after="0" w:line="179" w:lineRule="exact"/>
        <w:rPr>
          <w:sz w:val="20"/>
          <w:szCs w:val="20"/>
          <w:color w:val="auto"/>
        </w:rPr>
      </w:pPr>
    </w:p>
    <w:p>
      <w:pPr>
        <w:ind w:left="300" w:right="399"/>
        <w:spacing w:after="0" w:line="263" w:lineRule="auto"/>
        <w:rPr>
          <w:sz w:val="20"/>
          <w:szCs w:val="20"/>
          <w:color w:val="auto"/>
        </w:rPr>
      </w:pPr>
      <w:r>
        <w:rPr>
          <w:rFonts w:ascii="Times New Roman" w:cs="Times New Roman" w:eastAsia="Times New Roman" w:hAnsi="Times New Roman"/>
          <w:sz w:val="19"/>
          <w:szCs w:val="19"/>
          <w:color w:val="auto"/>
        </w:rPr>
        <w:t>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17. Entire Agreement.</w:t>
      </w:r>
    </w:p>
    <w:p>
      <w:pPr>
        <w:spacing w:after="0" w:line="179" w:lineRule="exact"/>
        <w:rPr>
          <w:sz w:val="20"/>
          <w:szCs w:val="20"/>
          <w:color w:val="auto"/>
        </w:rPr>
      </w:pPr>
    </w:p>
    <w:p>
      <w:pPr>
        <w:ind w:left="300" w:right="359"/>
        <w:spacing w:after="0" w:line="263" w:lineRule="auto"/>
        <w:rPr>
          <w:sz w:val="20"/>
          <w:szCs w:val="20"/>
          <w:color w:val="auto"/>
        </w:rPr>
      </w:pPr>
      <w:r>
        <w:rPr>
          <w:rFonts w:ascii="Times New Roman" w:cs="Times New Roman" w:eastAsia="Times New Roman" w:hAnsi="Times New Roman"/>
          <w:sz w:val="19"/>
          <w:szCs w:val="19"/>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in addition to the indemnification provisions of the Articles and in furtherance of the Articles and applicable law, and is not a substitute therefor, nor to diminish or abrogate any rights of Indemnitee thereunder.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18. Modification and Waiver.</w:t>
      </w:r>
    </w:p>
    <w:p>
      <w:pPr>
        <w:spacing w:after="0" w:line="193" w:lineRule="exact"/>
        <w:rPr>
          <w:sz w:val="20"/>
          <w:szCs w:val="20"/>
          <w:color w:val="auto"/>
        </w:rPr>
      </w:pPr>
    </w:p>
    <w:p>
      <w:pPr>
        <w:ind w:left="300" w:right="599"/>
        <w:spacing w:after="0" w:line="249" w:lineRule="auto"/>
        <w:rPr>
          <w:sz w:val="20"/>
          <w:szCs w:val="20"/>
          <w:color w:val="auto"/>
        </w:rPr>
      </w:pPr>
      <w:r>
        <w:rPr>
          <w:rFonts w:ascii="Times New Roman" w:cs="Times New Roman" w:eastAsia="Times New Roman" w:hAnsi="Times New Roman"/>
          <w:sz w:val="20"/>
          <w:szCs w:val="20"/>
          <w:color w:val="auto"/>
        </w:rPr>
        <w:t>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981710</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20"/>
          <w:szCs w:val="20"/>
          <w:b w:val="1"/>
          <w:bCs w:val="1"/>
          <w:color w:val="auto"/>
        </w:rPr>
        <w:t>Section 19. Notices.</w:t>
      </w:r>
    </w:p>
    <w:p>
      <w:pPr>
        <w:spacing w:after="0" w:line="179" w:lineRule="exact"/>
        <w:rPr>
          <w:sz w:val="20"/>
          <w:szCs w:val="20"/>
          <w:color w:val="auto"/>
        </w:rPr>
      </w:pPr>
    </w:p>
    <w:p>
      <w:pPr>
        <w:ind w:left="300" w:right="519"/>
        <w:spacing w:after="0" w:line="246" w:lineRule="auto"/>
        <w:rPr>
          <w:sz w:val="20"/>
          <w:szCs w:val="20"/>
          <w:color w:val="auto"/>
        </w:rPr>
      </w:pPr>
      <w:r>
        <w:rPr>
          <w:rFonts w:ascii="Times New Roman" w:cs="Times New Roman" w:eastAsia="Times New Roman" w:hAnsi="Times New Roman"/>
          <w:sz w:val="20"/>
          <w:szCs w:val="20"/>
          <w:color w:val="auto"/>
        </w:rPr>
        <w:t>All notices and other communications given or made pursuant to this Agreement shall be in writing and shall be deemed effectively given upon personal delivery to the party to be notified, when sent by confirmed electronic mail if sent during normal business hours of the recipient, and if not so confirmed, then on the next Business Day, three Business Days after deposit with an internationally recognized courier service, specifying express delivery, with written verification of receipt: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 If to the Indemnitee:</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[ADDRESS]</w:t>
      </w:r>
    </w:p>
    <w:p>
      <w:pPr>
        <w:ind w:left="300"/>
        <w:spacing w:after="0"/>
        <w:rPr>
          <w:sz w:val="20"/>
          <w:szCs w:val="20"/>
          <w:color w:val="auto"/>
        </w:rPr>
      </w:pPr>
      <w:r>
        <w:rPr>
          <w:rFonts w:ascii="Times New Roman" w:cs="Times New Roman" w:eastAsia="Times New Roman" w:hAnsi="Times New Roman"/>
          <w:sz w:val="20"/>
          <w:szCs w:val="20"/>
          <w:color w:val="auto"/>
        </w:rPr>
        <w:t>Attn: [●]</w:t>
      </w:r>
    </w:p>
    <w:p>
      <w:pPr>
        <w:ind w:left="300"/>
        <w:spacing w:after="0"/>
        <w:rPr>
          <w:sz w:val="20"/>
          <w:szCs w:val="20"/>
          <w:color w:val="auto"/>
        </w:rPr>
      </w:pPr>
      <w:r>
        <w:rPr>
          <w:rFonts w:ascii="Times New Roman" w:cs="Times New Roman" w:eastAsia="Times New Roman" w:hAnsi="Times New Roman"/>
          <w:sz w:val="20"/>
          <w:szCs w:val="20"/>
          <w:color w:val="auto"/>
        </w:rPr>
        <w:t>Email: [●]</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or to any other address as may have been furnished to the Company by the Indemnitee.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 If to the Company:</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AIR Global PLC</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FAO The Company Secretary</w:t>
      </w:r>
    </w:p>
    <w:p>
      <w:pPr>
        <w:ind w:left="300"/>
        <w:spacing w:after="0"/>
        <w:rPr>
          <w:sz w:val="20"/>
          <w:szCs w:val="20"/>
          <w:color w:val="auto"/>
        </w:rPr>
      </w:pPr>
      <w:r>
        <w:rPr>
          <w:rFonts w:ascii="Times New Roman" w:cs="Times New Roman" w:eastAsia="Times New Roman" w:hAnsi="Times New Roman"/>
          <w:sz w:val="20"/>
          <w:szCs w:val="20"/>
          <w:color w:val="auto"/>
        </w:rPr>
        <w:t>c/o AIR Global Brands Limited</w:t>
      </w:r>
    </w:p>
    <w:p>
      <w:pPr>
        <w:ind w:left="300"/>
        <w:spacing w:after="0"/>
        <w:rPr>
          <w:sz w:val="20"/>
          <w:szCs w:val="20"/>
          <w:color w:val="auto"/>
        </w:rPr>
      </w:pPr>
      <w:r>
        <w:rPr>
          <w:rFonts w:ascii="Times New Roman" w:cs="Times New Roman" w:eastAsia="Times New Roman" w:hAnsi="Times New Roman"/>
          <w:sz w:val="20"/>
          <w:szCs w:val="20"/>
          <w:color w:val="auto"/>
        </w:rPr>
        <w:t>Sovereign Gate</w:t>
      </w:r>
    </w:p>
    <w:p>
      <w:pPr>
        <w:ind w:left="300"/>
        <w:spacing w:after="0"/>
        <w:rPr>
          <w:sz w:val="20"/>
          <w:szCs w:val="20"/>
          <w:color w:val="auto"/>
        </w:rPr>
      </w:pPr>
      <w:r>
        <w:rPr>
          <w:rFonts w:ascii="Times New Roman" w:cs="Times New Roman" w:eastAsia="Times New Roman" w:hAnsi="Times New Roman"/>
          <w:sz w:val="20"/>
          <w:szCs w:val="20"/>
          <w:color w:val="auto"/>
        </w:rPr>
        <w:t>8-20 Kew Rd</w:t>
      </w:r>
    </w:p>
    <w:p>
      <w:pPr>
        <w:ind w:left="300"/>
        <w:spacing w:after="0"/>
        <w:rPr>
          <w:sz w:val="20"/>
          <w:szCs w:val="20"/>
          <w:color w:val="auto"/>
        </w:rPr>
      </w:pPr>
      <w:r>
        <w:rPr>
          <w:rFonts w:ascii="Times New Roman" w:cs="Times New Roman" w:eastAsia="Times New Roman" w:hAnsi="Times New Roman"/>
          <w:sz w:val="20"/>
          <w:szCs w:val="20"/>
          <w:color w:val="auto"/>
        </w:rPr>
        <w:t>Richmond upon Thames TW9 2NA</w:t>
      </w:r>
    </w:p>
    <w:p>
      <w:pPr>
        <w:ind w:left="300"/>
        <w:spacing w:after="0"/>
        <w:rPr>
          <w:sz w:val="20"/>
          <w:szCs w:val="20"/>
          <w:color w:val="auto"/>
        </w:rPr>
      </w:pPr>
      <w:r>
        <w:rPr>
          <w:rFonts w:ascii="Times New Roman" w:cs="Times New Roman" w:eastAsia="Times New Roman" w:hAnsi="Times New Roman"/>
          <w:sz w:val="20"/>
          <w:szCs w:val="20"/>
          <w:color w:val="auto"/>
        </w:rPr>
        <w:t>London</w:t>
      </w:r>
    </w:p>
    <w:p>
      <w:pPr>
        <w:ind w:left="300"/>
        <w:spacing w:after="0"/>
        <w:rPr>
          <w:sz w:val="20"/>
          <w:szCs w:val="20"/>
          <w:color w:val="auto"/>
        </w:rPr>
      </w:pPr>
      <w:r>
        <w:rPr>
          <w:rFonts w:ascii="Times New Roman" w:cs="Times New Roman" w:eastAsia="Times New Roman" w:hAnsi="Times New Roman"/>
          <w:sz w:val="20"/>
          <w:szCs w:val="20"/>
          <w:color w:val="auto"/>
        </w:rPr>
        <w:t>United Kingdom</w:t>
      </w:r>
    </w:p>
    <w:p>
      <w:pPr>
        <w:ind w:left="300"/>
        <w:spacing w:after="0"/>
        <w:rPr>
          <w:sz w:val="20"/>
          <w:szCs w:val="20"/>
          <w:color w:val="auto"/>
        </w:rPr>
      </w:pPr>
      <w:r>
        <w:rPr>
          <w:rFonts w:ascii="Times New Roman" w:cs="Times New Roman" w:eastAsia="Times New Roman" w:hAnsi="Times New Roman"/>
          <w:sz w:val="20"/>
          <w:szCs w:val="20"/>
          <w:color w:val="auto"/>
        </w:rPr>
        <w:t>Email: xxxxxxxxxxxxxxxxxxxx</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or to any other address as may have been furnished to Indemnitee by the Company.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20. Counterparts.</w:t>
      </w:r>
    </w:p>
    <w:p>
      <w:pPr>
        <w:spacing w:after="0" w:line="179" w:lineRule="exact"/>
        <w:rPr>
          <w:sz w:val="20"/>
          <w:szCs w:val="20"/>
          <w:color w:val="auto"/>
        </w:rPr>
      </w:pPr>
    </w:p>
    <w:p>
      <w:pPr>
        <w:ind w:left="300" w:right="339"/>
        <w:spacing w:after="0" w:line="263" w:lineRule="auto"/>
        <w:rPr>
          <w:sz w:val="20"/>
          <w:szCs w:val="20"/>
          <w:color w:val="auto"/>
        </w:rPr>
      </w:pPr>
      <w:r>
        <w:rPr>
          <w:rFonts w:ascii="Times New Roman" w:cs="Times New Roman" w:eastAsia="Times New Roman" w:hAnsi="Times New Roman"/>
          <w:sz w:val="19"/>
          <w:szCs w:val="19"/>
          <w:color w:val="auto"/>
        </w:rPr>
        <w:t>This Agreement may be executed in two or more counterparts, each of which shall be deemed an original, but all of which together shall constitute one and the same instrument. Counterparts may be executed and delivered by electronic signature and via electronic mail (including pdf or any electronic signature complying with applicable law) or other transmission method, and any counterpart so delivered shall be deemed to have been duly and validly delivered and be valid and effective for all purposes.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21. Headings.</w:t>
      </w:r>
    </w:p>
    <w:p>
      <w:pPr>
        <w:spacing w:after="0" w:line="193" w:lineRule="exact"/>
        <w:rPr>
          <w:sz w:val="20"/>
          <w:szCs w:val="20"/>
          <w:color w:val="auto"/>
        </w:rPr>
      </w:pPr>
    </w:p>
    <w:p>
      <w:pPr>
        <w:ind w:left="300" w:right="519"/>
        <w:spacing w:after="0" w:line="269" w:lineRule="auto"/>
        <w:rPr>
          <w:sz w:val="20"/>
          <w:szCs w:val="20"/>
          <w:color w:val="auto"/>
        </w:rPr>
      </w:pPr>
      <w:r>
        <w:rPr>
          <w:rFonts w:ascii="Times New Roman" w:cs="Times New Roman" w:eastAsia="Times New Roman" w:hAnsi="Times New Roman"/>
          <w:sz w:val="20"/>
          <w:szCs w:val="20"/>
          <w:color w:val="auto"/>
        </w:rPr>
        <w:t>The headings of this Agreement are inserted for convenience only and shall not be deemed to constitute part of this Agreement or to affect the construction thereof.</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22. Governing Law and Consent to Jurisdiction.</w:t>
      </w:r>
    </w:p>
    <w:p>
      <w:pPr>
        <w:spacing w:after="0" w:line="179" w:lineRule="exact"/>
        <w:rPr>
          <w:sz w:val="20"/>
          <w:szCs w:val="20"/>
          <w:color w:val="auto"/>
        </w:rPr>
      </w:pPr>
    </w:p>
    <w:p>
      <w:pPr>
        <w:ind w:left="300" w:right="479"/>
        <w:spacing w:after="0" w:line="259" w:lineRule="auto"/>
        <w:rPr>
          <w:sz w:val="20"/>
          <w:szCs w:val="20"/>
          <w:color w:val="auto"/>
        </w:rPr>
      </w:pPr>
      <w:r>
        <w:rPr>
          <w:rFonts w:ascii="Times New Roman" w:cs="Times New Roman" w:eastAsia="Times New Roman" w:hAnsi="Times New Roman"/>
          <w:sz w:val="19"/>
          <w:szCs w:val="19"/>
          <w:color w:val="auto"/>
        </w:rPr>
        <w:t>This Agreement and the legal relations among the parties shall be governed by, and construed and enforced in accordance with, the laws of the Island of Jersey, without regard to its conflict of laws rules. The Company and Indemnitee hereby irrevocably and unconditionally (a) agree that any action or proceeding arising out of or in connection with this Agreement shall be brought only in Applicable Courts, (b) consent to submit to the non-exclusive jurisdiction of the Applicable Courts for purposes of any action or proceeding arising out of or in connection with this Agreement, (c) waive any objection to the laying of venue of any such action or proceeding in the Applicable Courts, and (d) waive, and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985520</wp:posOffset>
            </wp:positionV>
            <wp:extent cx="70377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4" w:name="page125"/>
    <w:bookmarkEnd w:id="124"/>
    <w:p>
      <w:pPr>
        <w:ind w:left="300" w:right="599"/>
        <w:spacing w:after="0" w:line="249" w:lineRule="auto"/>
        <w:rPr>
          <w:sz w:val="20"/>
          <w:szCs w:val="20"/>
          <w:color w:val="auto"/>
        </w:rPr>
      </w:pPr>
      <w:r>
        <w:rPr>
          <w:rFonts w:ascii="Times New Roman" w:cs="Times New Roman" w:eastAsia="Times New Roman" w:hAnsi="Times New Roman"/>
          <w:sz w:val="20"/>
          <w:szCs w:val="20"/>
          <w:color w:val="auto"/>
        </w:rPr>
        <w:t>not to plead or to make, any claim that any such action or proceeding brought in the Applicable Courts has been brought in an improper or inconvenient forum. The Company and Indemnitee agree that the process by which any such action or proceeding is begun may be served on it by being delivered in accordance with the notice provisions set forth in Section 19 of this Agreement.</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23. Third-Party Rights.</w:t>
      </w:r>
    </w:p>
    <w:p>
      <w:pPr>
        <w:spacing w:after="0" w:line="193" w:lineRule="exact"/>
        <w:rPr>
          <w:sz w:val="20"/>
          <w:szCs w:val="20"/>
          <w:color w:val="auto"/>
        </w:rPr>
      </w:pPr>
    </w:p>
    <w:p>
      <w:pPr>
        <w:ind w:left="300" w:right="599"/>
        <w:spacing w:after="0" w:line="269" w:lineRule="auto"/>
        <w:rPr>
          <w:sz w:val="20"/>
          <w:szCs w:val="20"/>
          <w:color w:val="auto"/>
        </w:rPr>
      </w:pPr>
      <w:r>
        <w:rPr>
          <w:rFonts w:ascii="Times New Roman" w:cs="Times New Roman" w:eastAsia="Times New Roman" w:hAnsi="Times New Roman"/>
          <w:sz w:val="20"/>
          <w:szCs w:val="20"/>
          <w:color w:val="auto"/>
        </w:rPr>
        <w:t>A person who is not party to this Agreement shall have no right under any applicable third-party rights legislation to enforce any of its terms.</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Section 24. Jersey Law Waiver.</w:t>
      </w:r>
    </w:p>
    <w:p>
      <w:pPr>
        <w:spacing w:after="0" w:line="179" w:lineRule="exact"/>
        <w:rPr>
          <w:sz w:val="20"/>
          <w:szCs w:val="20"/>
          <w:color w:val="auto"/>
        </w:rPr>
      </w:pPr>
    </w:p>
    <w:p>
      <w:pPr>
        <w:ind w:left="300" w:right="639"/>
        <w:spacing w:after="0" w:line="254" w:lineRule="auto"/>
        <w:rPr>
          <w:sz w:val="20"/>
          <w:szCs w:val="20"/>
          <w:color w:val="auto"/>
        </w:rPr>
      </w:pPr>
      <w:r>
        <w:rPr>
          <w:rFonts w:ascii="Times New Roman" w:cs="Times New Roman" w:eastAsia="Times New Roman" w:hAnsi="Times New Roman"/>
          <w:sz w:val="20"/>
          <w:szCs w:val="20"/>
          <w:color w:val="auto"/>
        </w:rPr>
        <w:t xml:space="preserve">For the avoidance of doubt, the parties hereto irrevocably and unconditionally abandon and waive any right which they may have at any time under the existing laws of Jersey by virtue of the </w:t>
      </w:r>
      <w:r>
        <w:rPr>
          <w:rFonts w:ascii="Times New Roman" w:cs="Times New Roman" w:eastAsia="Times New Roman" w:hAnsi="Times New Roman"/>
          <w:sz w:val="20"/>
          <w:szCs w:val="20"/>
          <w:i w:val="1"/>
          <w:iCs w:val="1"/>
          <w:color w:val="auto"/>
        </w:rPr>
        <w:t>droit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discussion </w:t>
      </w:r>
      <w:r>
        <w:rPr>
          <w:rFonts w:ascii="Times New Roman" w:cs="Times New Roman" w:eastAsia="Times New Roman" w:hAnsi="Times New Roman"/>
          <w:sz w:val="20"/>
          <w:szCs w:val="20"/>
          <w:color w:val="auto"/>
        </w:rPr>
        <w:t>or the</w:t>
      </w:r>
      <w:r>
        <w:rPr>
          <w:rFonts w:ascii="Times New Roman" w:cs="Times New Roman" w:eastAsia="Times New Roman" w:hAnsi="Times New Roman"/>
          <w:sz w:val="20"/>
          <w:szCs w:val="20"/>
          <w:i w:val="1"/>
          <w:iCs w:val="1"/>
          <w:color w:val="auto"/>
        </w:rPr>
        <w:t xml:space="preserve"> droit de division.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1007110</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5" w:name="page126"/>
    <w:bookmarkEnd w:id="125"/>
    <w:p>
      <w:pPr>
        <w:jc w:val="both"/>
        <w:ind w:left="300" w:right="779"/>
        <w:spacing w:after="0" w:line="256"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each of the parties hereto has executed this Agreement, or caused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be executed by its duly authorized representative, effective as of the day and year first above written.</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AIR GLOBAL PLC</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22974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22974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Indemnification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1015365</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6" w:name="page127"/>
    <w:bookmarkEnd w:id="12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172085</wp:posOffset>
            </wp:positionV>
            <wp:extent cx="5353050" cy="518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5353050" cy="518160"/>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AIR GLOBAL PLC</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2026 INCENTIVE AWARD PLAN</w:t>
      </w:r>
    </w:p>
    <w:p>
      <w:pPr>
        <w:spacing w:after="0" w:line="31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19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7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ELIGIBILITY</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ADMINISTRATION AND DELEGATION</w:t>
      </w:r>
    </w:p>
    <w:p>
      <w:pPr>
        <w:spacing w:after="0" w:line="194" w:lineRule="exact"/>
        <w:rPr>
          <w:sz w:val="20"/>
          <w:szCs w:val="20"/>
          <w:color w:val="auto"/>
        </w:rPr>
      </w:pPr>
    </w:p>
    <w:p>
      <w:pPr>
        <w:jc w:val="both"/>
        <w:ind w:left="300" w:right="299" w:firstLine="648"/>
        <w:spacing w:after="0" w:line="257" w:lineRule="auto"/>
        <w:rPr>
          <w:sz w:val="20"/>
          <w:szCs w:val="20"/>
          <w:color w:val="auto"/>
        </w:rPr>
      </w:pPr>
      <w:r>
        <w:rPr>
          <w:rFonts w:ascii="Times New Roman" w:cs="Times New Roman" w:eastAsia="Times New Roman" w:hAnsi="Times New Roman"/>
          <w:sz w:val="19"/>
          <w:szCs w:val="19"/>
          <w:color w:val="auto"/>
        </w:rPr>
        <w:t>3.1</w:t>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7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3.2</w:t>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SHARES AVAILABLE FOR AWARDS</w:t>
      </w:r>
    </w:p>
    <w:p>
      <w:pPr>
        <w:spacing w:after="0" w:line="194" w:lineRule="exact"/>
        <w:rPr>
          <w:sz w:val="20"/>
          <w:szCs w:val="20"/>
          <w:color w:val="auto"/>
        </w:rPr>
      </w:pPr>
    </w:p>
    <w:p>
      <w:pPr>
        <w:jc w:val="both"/>
        <w:ind w:left="300" w:right="319" w:firstLine="648"/>
        <w:spacing w:after="0" w:line="244" w:lineRule="auto"/>
        <w:rPr>
          <w:sz w:val="20"/>
          <w:szCs w:val="20"/>
          <w:color w:val="auto"/>
        </w:rPr>
      </w:pPr>
      <w:r>
        <w:rPr>
          <w:rFonts w:ascii="Times New Roman" w:cs="Times New Roman" w:eastAsia="Times New Roman" w:hAnsi="Times New Roman"/>
          <w:sz w:val="20"/>
          <w:szCs w:val="20"/>
          <w:color w:val="auto"/>
        </w:rPr>
        <w:t>4.1</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 From and after the effectiveness of this Plan, the Company will not grant new awards under the Prior Plans; however, Prior Plan Awards will remain subject to the terms of the respective Prior Plan. Each Share actually issued pursuant to the vesting and settlement of Unvested Prior Plan Awards shall count against the Overall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874395</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7" w:name="page128"/>
    <w:bookmarkEnd w:id="127"/>
    <w:p>
      <w:pPr>
        <w:spacing w:after="0" w:line="18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4.2</w:t>
      </w:r>
      <w:r>
        <w:rPr>
          <w:rFonts w:ascii="Times New Roman" w:cs="Times New Roman" w:eastAsia="Times New Roman" w:hAnsi="Times New Roman"/>
          <w:sz w:val="20"/>
          <w:szCs w:val="20"/>
          <w:u w:val="single" w:color="auto"/>
          <w:color w:val="auto"/>
        </w:rPr>
        <w:t>Share Recycling</w:t>
      </w:r>
      <w:r>
        <w:rPr>
          <w:rFonts w:ascii="Times New Roman" w:cs="Times New Roman" w:eastAsia="Times New Roman" w:hAnsi="Times New Roman"/>
          <w:sz w:val="20"/>
          <w:szCs w:val="20"/>
          <w:color w:val="auto"/>
        </w:rPr>
        <w:t>. If all or any part of an Award expires, lapses or is terminated, exchanged for or settled in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as applicable, not again be available for Award grants under the Plan. In addition, the following Shares shall not be added to the Shares authorized for grant under Section 4.1 and shall not be available for future grants of Awards: (a) Shares subject to a Share Appreciation Right that are not issued in connection with the share settlement of the Share Appreciation Right on exercise thereof; (b) Shares purchased on the open market by the Company with the cash proceeds from the exercise of Options; and (c) Shares delivered (either by actual delivery or as otherwise permitted by the Administrator) to the Company by a Participant to satisfy the applicable exercise or purchase price of an Award and/or to satisfy any applicable tax withholding obligation with respect to an Award (including Shares retained by the Company from the Award being exercised or purchased and/or creating the tax obligation). The payment of Dividend Equivalents in cash in conjunction with any outstanding Awards shall not count against the Overall Share Limit.</w:t>
      </w:r>
    </w:p>
    <w:p>
      <w:pPr>
        <w:spacing w:after="0" w:line="193"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4.3</w:t>
      </w: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14,559,998 Shares may be issued pursuant to the exercise of Incentive Stock Options.</w:t>
      </w:r>
    </w:p>
    <w:p>
      <w:pPr>
        <w:spacing w:after="0" w:line="159"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4.4</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an entity’s merger or consolidation with the Company or the Company’s acquisition of an entity’s property or shares, the Administrator may grant Awards in substitution for any options or other share or share-based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(other than Incentive Stock Options)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20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4.5</w:t>
      </w:r>
      <w:r>
        <w:rPr>
          <w:rFonts w:ascii="Times New Roman" w:cs="Times New Roman" w:eastAsia="Times New Roman" w:hAnsi="Times New Roman"/>
          <w:sz w:val="19"/>
          <w:szCs w:val="19"/>
          <w:u w:val="single" w:color="auto"/>
          <w:color w:val="auto"/>
        </w:rPr>
        <w:t>Non-Employee Director Compensation</w:t>
      </w:r>
      <w:r>
        <w:rPr>
          <w:rFonts w:ascii="Times New Roman" w:cs="Times New Roman" w:eastAsia="Times New Roman" w:hAnsi="Times New Roman"/>
          <w:sz w:val="19"/>
          <w:szCs w:val="19"/>
          <w:color w:val="auto"/>
        </w:rPr>
        <w:t>. Notwithstanding any provision to the contrary in the Plan, the Administrator may establish compensation for non-employee Directors from time to time, subject to the limitations in the Plan and the requirements of Applicable Law and/or pursuant to a written nondiscretionary formula established by the Administrator (the “</w:t>
      </w:r>
      <w:r>
        <w:rPr>
          <w:rFonts w:ascii="Times New Roman" w:cs="Times New Roman" w:eastAsia="Times New Roman" w:hAnsi="Times New Roman"/>
          <w:sz w:val="19"/>
          <w:szCs w:val="19"/>
          <w:u w:val="single" w:color="auto"/>
          <w:color w:val="auto"/>
        </w:rPr>
        <w:t>Non-Employee Director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Compensation Policy</w:t>
      </w:r>
      <w:r>
        <w:rPr>
          <w:rFonts w:ascii="Times New Roman" w:cs="Times New Roman" w:eastAsia="Times New Roman" w:hAnsi="Times New Roman"/>
          <w:sz w:val="19"/>
          <w:szCs w:val="19"/>
          <w:color w:val="auto"/>
        </w:rPr>
        <w:t>”). The sum of any cash compensation or other compensation, and the value (determined as of the grant date in accordance with International Accounting Standards Board IFRS 2 (or other applicable accounting standards), or any successor thereto) of Awards granted to a non-employee Director as compensation for services as a non-employee Director during any fiscal year of the Company may not exceed $750,000 (the “</w:t>
      </w:r>
      <w:r>
        <w:rPr>
          <w:rFonts w:ascii="Times New Roman" w:cs="Times New Roman" w:eastAsia="Times New Roman" w:hAnsi="Times New Roman"/>
          <w:sz w:val="19"/>
          <w:szCs w:val="19"/>
          <w:b w:val="1"/>
          <w:bCs w:val="1"/>
          <w:i w:val="1"/>
          <w:iCs w:val="1"/>
          <w:color w:val="auto"/>
        </w:rPr>
        <w:t>Director Limit</w:t>
      </w:r>
      <w:r>
        <w:rPr>
          <w:rFonts w:ascii="Times New Roman" w:cs="Times New Roman" w:eastAsia="Times New Roman" w:hAnsi="Times New Roman"/>
          <w:sz w:val="19"/>
          <w:szCs w:val="19"/>
          <w:color w:val="auto"/>
        </w:rPr>
        <w:t>”). The Administrator may make exceptions to the Director Limit in extraordinary circumstances, as the Administrator may determine in its discretion, provided that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non-employee Director receiving such additional compensation may not participate in the decision to award such compensation or in other contemporaneous compensation decisions involving non-employee Directors.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OPTIONS AND SHARE APPRECIATION RIGHTS</w:t>
      </w:r>
    </w:p>
    <w:p>
      <w:pPr>
        <w:spacing w:after="0" w:line="19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5.1</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or Share Appreciation Rights to Service Providers subject to the limitations in the Plan, including any limitations in the Plan that apply to Incentive Stock Options. A Share Appreciation Right will entitle the Participant (or other person entitled to exercise the Share Appreciation Right) to receive from the Company upon exercise of the exercisable portion of the Share Appreciation Right an amount determined by multiplying the excess, if any, of the Fair Market Value of one Share on the date of exercise over the exercise price per share of the Share Appreciation Right by the number of Shares with respect to which the Share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92"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5.2</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xml:space="preserve">. The Administrator will establish each Option’s and Share Appreciation Right’s exercise price and specify the exercise price in the Award Agreement. The exercise price will not be less than 100% of the Fair Market Value on the grant date of the Option (subject to Section 5.6) or Share Appreciation Right. Notwithstanding the foregoing, in the case of an Option or a Share Appreciation Right that is a Substitute Award, the exercise price per share of the Shares subject to such Option or Share Appreciation Right, as applicable, may be less than the Fair Market Value per share on the date of grant;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exercise price of any Substitute Award shall be determined in accordance with the applicable requirements of Sections 424 and 409A of the Code (to the extent applicable).</w:t>
      </w:r>
    </w:p>
    <w:p>
      <w:pPr>
        <w:spacing w:after="0" w:line="173"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5.3</w:t>
      </w: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xml:space="preserve">. Each Option or Share Appreciation Right will be exercisable at such times and as specified in the Award Agreement, provided that, subject to Section 5.6, the term of an Option or Share Appreciation Right will not exceed ten years. Notwithstanding the foregoing and unless determined otherwise by the Company, in the event that on the last business day of the term of an Option or Share Appreciation Right (other than an Incentive Stock Option) (a) the exercise of the Option or Share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Share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no event shall the extension last beyond the term of the applicable Option or Share Appreciation Right. Unless otherwise determined by the Administrator in the Award Agreement or by action of the Administrator following the grant of the Option or Share Appreciation Right, (i) no portion of an Option or Share Appreciation Right which is unexercisable at a Participant’s Termination of Service shall thereafter become exercisable and (ii) except as set forth in Section 8.3(b) or 8.4, the portion of an Option or Share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Share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Share Appreciation Right issued to the Participant shall terminate immediately upon such violation, unless the Company otherwise determines.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189"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5.4</w:t>
      </w:r>
      <w:r>
        <w:rPr>
          <w:rFonts w:ascii="Times New Roman" w:cs="Times New Roman" w:eastAsia="Times New Roman" w:hAnsi="Times New Roman"/>
          <w:sz w:val="19"/>
          <w:szCs w:val="19"/>
          <w:u w:val="single" w:color="auto"/>
          <w:color w:val="auto"/>
        </w:rPr>
        <w:t>Exercise</w:t>
      </w:r>
      <w:r>
        <w:rPr>
          <w:rFonts w:ascii="Times New Roman" w:cs="Times New Roman" w:eastAsia="Times New Roman" w:hAnsi="Times New Roman"/>
          <w:sz w:val="19"/>
          <w:szCs w:val="19"/>
          <w:color w:val="auto"/>
        </w:rPr>
        <w:t>. Options and Share Appreciation Rights may be exercised by delivering to the Company a written notice of exercise, in a form the Administrator approves (which may be electronic), signed by the person authorized to exercise the Option or Share Appreciation Right, together with, as applicable, payment in full (a) as specified in Section 5.5 for the number of Shares for which the Award is exercised and (b) as specified in Section 9.5 for any applicable taxes. Unless the Administrator otherwise determines, an Option or Share Appreciation Right may not be exercised for a fraction of a Share.</w:t>
      </w:r>
    </w:p>
    <w:p>
      <w:pPr>
        <w:spacing w:after="0" w:line="173"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5.5</w:t>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Subject to Section 10.8, any Company insider trading policy (including blackout periods) and Applicable Laws, the exercise price of an Option must be paid by:</w:t>
      </w:r>
    </w:p>
    <w:p>
      <w:pPr>
        <w:spacing w:after="0" w:line="159" w:lineRule="exact"/>
        <w:rPr>
          <w:sz w:val="20"/>
          <w:szCs w:val="20"/>
          <w:color w:val="auto"/>
        </w:rPr>
      </w:pPr>
    </w:p>
    <w:p>
      <w:pPr>
        <w:jc w:val="both"/>
        <w:ind w:left="300" w:right="319" w:firstLine="1288"/>
        <w:spacing w:after="0" w:line="254"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5"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as otherwise permitted by the Administrator) of Shares owned by the Participant valued at their Fair Market Value;</w:t>
      </w:r>
    </w:p>
    <w:p>
      <w:pPr>
        <w:spacing w:after="0" w:line="17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5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5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6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above payment forms approved by the Administrator.</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5.6</w:t>
      </w: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Shareholder,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Option.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SHARES; RESTRICTED SHARE UNITS</w:t>
      </w:r>
    </w:p>
    <w:p>
      <w:pPr>
        <w:spacing w:after="0" w:line="19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Restricted Shares, or the right to purchase Restricted Shares, to any Service Provider, subject to the Company’s right to repurchase or redeem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and forfeiture conditions during the applicable restriction period or periods, as set forth in an Award Agreement.</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6.2</w:t>
      </w: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1288"/>
        <w:spacing w:after="0" w:line="249" w:lineRule="auto"/>
        <w:tabs>
          <w:tab w:leader="none" w:pos="20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Shareholders</w:t>
      </w:r>
      <w:r>
        <w:rPr>
          <w:rFonts w:ascii="Times New Roman" w:cs="Times New Roman" w:eastAsia="Times New Roman" w:hAnsi="Times New Roman"/>
          <w:sz w:val="20"/>
          <w:szCs w:val="20"/>
          <w:color w:val="auto"/>
        </w:rPr>
        <w:t>. Subject to the Company’s right of repurchase as described above, upon issuance of Restricted Shares, the Participant shall have, unless otherwise provided by the Administrator, all of the rights of a shareholder with respect to said Shares, subject to the restrictions in the Plan.</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Participants holding Restricted Shares will be entitled to all ordinary cash dividends paid with respect to such Shares, unless the applicable Participant waives rights to such dividends, or the Administrator provides otherwise, in the Award Agreement. In addition, unless the Administrator provides otherwise, if any dividends or distributions are paid in Shares, or consist of a dividend or distribution to holders of Shares of property other than an ordinary cash dividend, the Shares or other property will be subject to the same restrictions on transferability and forfeitability as the Restricted Shares with respect to which they were paid.</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6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Certificates</w:t>
      </w:r>
      <w:r>
        <w:rPr>
          <w:rFonts w:ascii="Times New Roman" w:cs="Times New Roman" w:eastAsia="Times New Roman" w:hAnsi="Times New Roman"/>
          <w:sz w:val="20"/>
          <w:szCs w:val="20"/>
          <w:color w:val="auto"/>
        </w:rPr>
        <w:t>. The Company may require that the Participant deposit in escrow with the Company (or its designee) any share certificates issued in respect of Restricted Shares, together with a standalone power of attorney.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6.3</w:t>
      </w:r>
      <w:r>
        <w:rPr>
          <w:rFonts w:ascii="Times New Roman" w:cs="Times New Roman" w:eastAsia="Times New Roman" w:hAnsi="Times New Roman"/>
          <w:sz w:val="20"/>
          <w:szCs w:val="20"/>
          <w:u w:val="single" w:color="auto"/>
          <w:color w:val="auto"/>
        </w:rPr>
        <w:t>Restricted Share Units.</w:t>
      </w:r>
    </w:p>
    <w:p>
      <w:pPr>
        <w:spacing w:after="0" w:line="216" w:lineRule="exact"/>
        <w:rPr>
          <w:sz w:val="20"/>
          <w:szCs w:val="20"/>
          <w:color w:val="auto"/>
        </w:rPr>
      </w:pPr>
    </w:p>
    <w:p>
      <w:pPr>
        <w:jc w:val="both"/>
        <w:ind w:left="300" w:right="299" w:firstLine="1288"/>
        <w:spacing w:after="0" w:line="249" w:lineRule="auto"/>
        <w:tabs>
          <w:tab w:leader="none" w:pos="206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Administrator may provide that settlement of Restricted Share Units will occur upon or as soon as reasonably practicable after the Restricted Share Units vest or will instead be deferred, on a mandatory basis or at the Participant’s election, in a manner intended to comply with Section 409A (to the extent applicable).</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6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Shareholder Rights</w:t>
      </w:r>
      <w:r>
        <w:rPr>
          <w:rFonts w:ascii="Times New Roman" w:cs="Times New Roman" w:eastAsia="Times New Roman" w:hAnsi="Times New Roman"/>
          <w:sz w:val="20"/>
          <w:szCs w:val="20"/>
          <w:color w:val="auto"/>
        </w:rPr>
        <w:t>. A Participant will have no rights of a shareholder with respect to Shares subject to any Restricted Share Unit unless and until the Shares are delivered in settlement of the Restricted Share Unit.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OTHER SHARE OR CASH BASED AWARDS; DIVIDEND EQUIVALENTS</w:t>
      </w:r>
    </w:p>
    <w:p>
      <w:pPr>
        <w:spacing w:after="0" w:line="19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Other Share or Cash Based Awards</w:t>
      </w:r>
      <w:r>
        <w:rPr>
          <w:rFonts w:ascii="Times New Roman" w:cs="Times New Roman" w:eastAsia="Times New Roman" w:hAnsi="Times New Roman"/>
          <w:sz w:val="20"/>
          <w:szCs w:val="20"/>
          <w:color w:val="auto"/>
        </w:rPr>
        <w:t>. Other Share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Share or Cash Based Awards will also be available as a payment form in the settlement of other Awards, as standalone payments and as payment in lieu of compensation to which a Participant is otherwise entitled. Other Share or Cash Based Awards may be paid in Shares, cash or other property, as the Administrator determines.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189" w:lineRule="exact"/>
        <w:rPr>
          <w:sz w:val="20"/>
          <w:szCs w:val="20"/>
          <w:color w:val="auto"/>
        </w:rPr>
      </w:pPr>
    </w:p>
    <w:p>
      <w:pPr>
        <w:jc w:val="both"/>
        <w:ind w:left="300" w:right="319" w:firstLine="648"/>
        <w:spacing w:after="0" w:line="260" w:lineRule="auto"/>
        <w:rPr>
          <w:sz w:val="20"/>
          <w:szCs w:val="20"/>
          <w:color w:val="auto"/>
        </w:rPr>
      </w:pPr>
      <w:r>
        <w:rPr>
          <w:rFonts w:ascii="Times New Roman" w:cs="Times New Roman" w:eastAsia="Times New Roman" w:hAnsi="Times New Roman"/>
          <w:sz w:val="19"/>
          <w:szCs w:val="19"/>
          <w:color w:val="auto"/>
        </w:rPr>
        <w:t xml:space="preserve">7.2 </w:t>
      </w:r>
      <w:r>
        <w:rPr>
          <w:rFonts w:ascii="Times New Roman" w:cs="Times New Roman" w:eastAsia="Times New Roman" w:hAnsi="Times New Roman"/>
          <w:sz w:val="19"/>
          <w:szCs w:val="19"/>
          <w:u w:val="single" w:color="auto"/>
          <w:color w:val="auto"/>
        </w:rPr>
        <w:t>Dividend Equivalents</w:t>
      </w:r>
      <w:r>
        <w:rPr>
          <w:rFonts w:ascii="Times New Roman" w:cs="Times New Roman" w:eastAsia="Times New Roman" w:hAnsi="Times New Roman"/>
          <w:sz w:val="19"/>
          <w:szCs w:val="19"/>
          <w:color w:val="auto"/>
        </w:rPr>
        <w:t>. A grant of Restricted Share Units or Other Share or Cash Based Award may provide a Participant with the right to receive Dividend Equivalents, and no Dividend Equivalents shall be payable with respect to Options or Share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ADJUSTMENTS FOR CHANGES IN SHARES</w:t>
      </w:r>
    </w:p>
    <w:p>
      <w:pPr>
        <w:jc w:val="center"/>
        <w:spacing w:after="0"/>
        <w:rPr>
          <w:sz w:val="20"/>
          <w:szCs w:val="20"/>
          <w:color w:val="auto"/>
        </w:rPr>
      </w:pPr>
      <w:r>
        <w:rPr>
          <w:rFonts w:ascii="Times New Roman" w:cs="Times New Roman" w:eastAsia="Times New Roman" w:hAnsi="Times New Roman"/>
          <w:sz w:val="20"/>
          <w:szCs w:val="20"/>
          <w:b w:val="1"/>
          <w:bCs w:val="1"/>
          <w:color w:val="auto"/>
        </w:rPr>
        <w:t>AND CERTAIN OTHER EVENTS</w:t>
      </w:r>
    </w:p>
    <w:p>
      <w:pPr>
        <w:spacing w:after="0" w:line="19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8.1</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xml:space="preserve">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8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8.2</w:t>
      </w: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In the event of any dividend or other distribution (whether in the form of cash, Shares, other securities, or other property),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Change in Control, issuance of warrants or other rights to purchase Shares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193" w:lineRule="exact"/>
        <w:rPr>
          <w:sz w:val="20"/>
          <w:szCs w:val="20"/>
          <w:color w:val="auto"/>
        </w:rPr>
      </w:pPr>
    </w:p>
    <w:p>
      <w:pPr>
        <w:jc w:val="both"/>
        <w:ind w:left="300" w:right="299" w:firstLine="1288"/>
        <w:spacing w:after="0" w:line="244" w:lineRule="auto"/>
        <w:tabs>
          <w:tab w:leader="none" w:pos="20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6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189" w:lineRule="exact"/>
        <w:rPr>
          <w:sz w:val="20"/>
          <w:szCs w:val="20"/>
          <w:color w:val="auto"/>
        </w:rPr>
      </w:pPr>
    </w:p>
    <w:p>
      <w:pPr>
        <w:jc w:val="both"/>
        <w:ind w:left="300" w:right="299" w:firstLine="1288"/>
        <w:spacing w:after="0" w:line="246" w:lineRule="auto"/>
        <w:tabs>
          <w:tab w:leader="none" w:pos="206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shares of the successor or survivor corporation, or a parent or subsidiary thereof, with appropriate adjustments as to the number and kind of shares and/or applicable exercise or purchase price, in all cases, as determined by the Administrator;</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6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Policy) and/or in the terms and conditions of (including the grant or exercise price or applicable performance goals), and the criteria included in, outstanding Awards;</w:t>
      </w:r>
    </w:p>
    <w:p>
      <w:pPr>
        <w:spacing w:after="0" w:line="184" w:lineRule="exact"/>
        <w:rPr>
          <w:rFonts w:ascii="Times New Roman" w:cs="Times New Roman" w:eastAsia="Times New Roman" w:hAnsi="Times New Roman"/>
          <w:sz w:val="20"/>
          <w:szCs w:val="20"/>
          <w:color w:val="auto"/>
        </w:rPr>
      </w:pPr>
    </w:p>
    <w:p>
      <w:pPr>
        <w:ind w:left="2060" w:hanging="472"/>
        <w:spacing w:after="0"/>
        <w:tabs>
          <w:tab w:leader="none" w:pos="206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and/or</w:t>
      </w:r>
    </w:p>
    <w:p>
      <w:pPr>
        <w:spacing w:after="0" w:line="193"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6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Award will terminate and cannot vest, be exercised or become payable after the applicable event.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8.3</w:t>
      </w:r>
      <w:r>
        <w:rPr>
          <w:rFonts w:ascii="Times New Roman" w:cs="Times New Roman" w:eastAsia="Times New Roman" w:hAnsi="Times New Roman"/>
          <w:sz w:val="20"/>
          <w:szCs w:val="20"/>
          <w:u w:val="single" w:color="auto"/>
          <w:color w:val="auto"/>
        </w:rPr>
        <w:t>Effect of Non-Assumption in a Change in Control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1288"/>
        <w:spacing w:after="0"/>
        <w:tabs>
          <w:tab w:leader="none" w:pos="20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Shares (A) which may be on such terms and conditions as apply generally to holders of Shares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(and the Company does not otherwise terminate such Award to the extent permitted under Section 409A in connection with a Change in Control), the timing of such payments shall be governed by the applicable Award Agreement (or otherwise paid in a manner permitted under Section 409A, including taking into account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205"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6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Control occurs and a Participant’s Awards are assumed pursuant to Section 8.3(a), and, on or within 12 months following such Change in Control, the Company or its successor entity or a parent or subsidiary thereof terminates such Participant’s employment or service with such entity for any reason (other than for Cause and other than as a result of such Participant’s death or Disability), then (i) such Participant’s remaining unvested Awards (including any Substitute Awards) shall become fully vested, exercisable and/or payable, as applicable, and all forfeiture, repurchase and other restrictions on such Awards (including any Substitute Awards) shall lapse, on the date of such Termination of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and (ii) with respect to Options or Share Appreciation Rights then held by such Participant, the Participant shall have a period of six months following the date of such Termination of Service (or such longer period as may be set forth in the applicable Award Agreement(s)) to exercise such Options or Share Appreciation Rights, to the extent that he or she was otherwise entitled to exercise such Options or Share Appreciation Rights on the date of such Termination of Service (but in no event shall any Option or Share Appreciation Rights remain exercisable beyond the last day of the term of such Option or Share Appreciation Rights).</w:t>
      </w:r>
    </w:p>
    <w:p>
      <w:pPr>
        <w:spacing w:after="0" w:line="18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8.4</w:t>
      </w:r>
      <w:r>
        <w:rPr>
          <w:rFonts w:ascii="Times New Roman" w:cs="Times New Roman" w:eastAsia="Times New Roman" w:hAnsi="Times New Roman"/>
          <w:sz w:val="19"/>
          <w:szCs w:val="19"/>
          <w:u w:val="single" w:color="auto"/>
          <w:color w:val="auto"/>
        </w:rPr>
        <w:t>Administrative Stand Still</w:t>
      </w:r>
      <w:r>
        <w:rPr>
          <w:rFonts w:ascii="Times New Roman" w:cs="Times New Roman" w:eastAsia="Times New Roman" w:hAnsi="Times New Roman"/>
          <w:sz w:val="19"/>
          <w:szCs w:val="19"/>
          <w:color w:val="auto"/>
        </w:rPr>
        <w:t>. In the event of any pending share dividend, share split, combination or exchange of shares, merger, consolidation or other distribution (other than normal cash dividends) of Company assets to shareholders, or any other extraordinary transaction or change affecting the Shares or the share price of the Shares, including any Equity Restructuring or any securities offering or other similar transaction, for administrative convenience, the Administrator may refuse to permit the exercise of any Award for up to 60 days before or after such transaction (a “</w:t>
      </w:r>
      <w:r>
        <w:rPr>
          <w:rFonts w:ascii="Times New Roman" w:cs="Times New Roman" w:eastAsia="Times New Roman" w:hAnsi="Times New Roman"/>
          <w:sz w:val="19"/>
          <w:szCs w:val="19"/>
          <w:u w:val="single" w:color="auto"/>
          <w:color w:val="auto"/>
        </w:rPr>
        <w:t>Stand Still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any Option (other than an Incentive Stock Option) or Share Appreciation Right would otherwise expire during the Stand Still Period the term of the Option or Share Appreciation Right shall be extended until the date that is 30 days after the end of the Stand Still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in no event shall the extension (a) last beyond the term of the applicable Option or Share Appreciation Right, or</w:t>
      </w:r>
    </w:p>
    <w:p>
      <w:pPr>
        <w:spacing w:after="0" w:line="5" w:lineRule="exact"/>
        <w:rPr>
          <w:sz w:val="20"/>
          <w:szCs w:val="20"/>
          <w:color w:val="auto"/>
        </w:rPr>
      </w:pPr>
    </w:p>
    <w:p>
      <w:pPr>
        <w:ind w:left="300" w:right="319" w:hanging="8"/>
        <w:spacing w:after="0" w:line="246" w:lineRule="auto"/>
        <w:tabs>
          <w:tab w:leader="none" w:pos="61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right of the Company to take action pursuant to Section 8.1 or 8.2 with respect to the applicable Option or Share Appreciation Right.</w:t>
      </w:r>
    </w:p>
    <w:p>
      <w:pPr>
        <w:spacing w:after="0" w:line="18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8.5</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in its discretion treat Participants and Awards (or portions thereof) differently under this Article VIII.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19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xml:space="preserve">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9.2</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9.4</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8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9.5</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minimum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(to the extent permissible by Applicable Law) or Shares retained from the Award creating the tax obligation,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minimum individual statutory tax rate in the applicable jurisdiction at the time of such withholding (or such other rate as may be required to avoid the liability classification of the applicable award under International Financial Reporting Standards (or other applicable accounting standards) in the absence of a contrary determination by the Company (or, with respect to withholding with respect to Awards held by individuals subject to Section 16 of the Exchange Act, a contrary determination by the Administrator);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18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of the applicable Award under generally accepted accounting principles of the International Accounting Standards Board. If any tax withholding obligation will be satisfied under clause (b)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9.6</w:t>
      </w:r>
      <w:r>
        <w:rPr>
          <w:rFonts w:ascii="Times New Roman" w:cs="Times New Roman" w:eastAsia="Times New Roman" w:hAnsi="Times New Roman"/>
          <w:sz w:val="19"/>
          <w:szCs w:val="19"/>
          <w:u w:val="single" w:color="auto"/>
          <w:color w:val="auto"/>
        </w:rPr>
        <w:t>Amendment of Award; No Repricing</w:t>
      </w:r>
      <w:r>
        <w:rPr>
          <w:rFonts w:ascii="Times New Roman" w:cs="Times New Roman" w:eastAsia="Times New Roman" w:hAnsi="Times New Roman"/>
          <w:sz w:val="19"/>
          <w:szCs w:val="19"/>
          <w:color w:val="auto"/>
        </w:rPr>
        <w:t>. The Administrator may amend, modify or terminate any outstanding Award, including by substituting another Award of the same or a different type, changing the exercise or settlement date, and converting an Incentive Stock Option to a Non-Qualified Option. The Participant’s consent to such action will be required unless (a) the action, taking into account any related action, does not materially and adversely affect the Participant’s rights under the Award, or (b) the change is permitted under Article VIII or the applicable Award Agreement or pursuant to Section 10.6. Notwithstanding the foregoing or anything in the Plan to the contrary, the Administrator may not, without the approval of the shareholders of the Company, (i) reduce the exercise price per share of outstanding Options or Share Appreciation Rights or (ii) cancel outstanding Options or Share Appreciation Rights in exchange for cash, other Awards or Options or Share Appreciation Rights with an exercise price per share that is less than the exercise price per share of the original Options or Share Appreciation Rights.</w:t>
      </w:r>
    </w:p>
    <w:p>
      <w:pPr>
        <w:spacing w:after="0" w:line="17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9.7</w:t>
      </w:r>
      <w:r>
        <w:rPr>
          <w:rFonts w:ascii="Times New Roman" w:cs="Times New Roman" w:eastAsia="Times New Roman" w:hAnsi="Times New Roman"/>
          <w:sz w:val="20"/>
          <w:szCs w:val="20"/>
          <w:u w:val="single" w:color="auto"/>
          <w:color w:val="auto"/>
        </w:rPr>
        <w:t>Conditions on Delivery of Shares</w:t>
      </w:r>
      <w:r>
        <w:rPr>
          <w:rFonts w:ascii="Times New Roman" w:cs="Times New Roman" w:eastAsia="Times New Roman" w:hAnsi="Times New Roman"/>
          <w:sz w:val="20"/>
          <w:szCs w:val="20"/>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92"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9.8</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9.9</w:t>
      </w:r>
      <w:r>
        <w:rPr>
          <w:rFonts w:ascii="Times New Roman" w:cs="Times New Roman" w:eastAsia="Times New Roman" w:hAnsi="Times New Roman"/>
          <w:sz w:val="20"/>
          <w:szCs w:val="20"/>
          <w:u w:val="single" w:color="auto"/>
          <w:color w:val="auto"/>
        </w:rPr>
        <w:t>Cash Settlement</w:t>
      </w:r>
      <w:r>
        <w:rPr>
          <w:rFonts w:ascii="Times New Roman" w:cs="Times New Roman" w:eastAsia="Times New Roman" w:hAnsi="Times New Roman"/>
          <w:sz w:val="20"/>
          <w:szCs w:val="20"/>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9.10</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xml:space="preserve">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w:t>
      </w:r>
    </w:p>
    <w:p>
      <w:pPr>
        <w:spacing w:after="0" w:line="1" w:lineRule="exact"/>
        <w:rPr>
          <w:sz w:val="20"/>
          <w:szCs w:val="20"/>
          <w:color w:val="auto"/>
        </w:rPr>
      </w:pPr>
    </w:p>
    <w:p>
      <w:pPr>
        <w:jc w:val="both"/>
        <w:ind w:left="300" w:right="299" w:hanging="8"/>
        <w:spacing w:after="0"/>
        <w:tabs>
          <w:tab w:leader="none" w:pos="61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7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10.1</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8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10.2</w:t>
      </w:r>
      <w:r>
        <w:rPr>
          <w:rFonts w:ascii="Times New Roman" w:cs="Times New Roman" w:eastAsia="Times New Roman" w:hAnsi="Times New Roman"/>
          <w:sz w:val="20"/>
          <w:szCs w:val="20"/>
          <w:u w:val="single" w:color="auto"/>
          <w:color w:val="auto"/>
        </w:rPr>
        <w:t>No Rights as Shareholder; Certificates</w:t>
      </w:r>
      <w:r>
        <w:rPr>
          <w:rFonts w:ascii="Times New Roman" w:cs="Times New Roman" w:eastAsia="Times New Roman" w:hAnsi="Times New Roman"/>
          <w:sz w:val="20"/>
          <w:szCs w:val="20"/>
          <w:color w:val="auto"/>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and as long as permitted by Applicable Laws, the Company will not be required to deliver to any Participant certificates evidencing Shares issued in connection with any Award and instead such Shares may be recorded on the register of members of the Company (or, as applicable, its transfer agent or share plan administrator). The Company may place legends on share certificates issued under the Plan that the Administrator deems necessary or appropriate to comply with Applicable Laws.</w:t>
      </w:r>
    </w:p>
    <w:p>
      <w:pPr>
        <w:spacing w:after="0" w:line="18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10.3</w:t>
      </w: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color w:val="auto"/>
        </w:rPr>
        <w:t>. The Plan will become effective on the Effective Date and, unless earlier terminated by the Board, will remain in effect until the tenth anniversary of the date the Board adopted the Plan, but Awards previously granted may extend beyond that date in accordance with the Plan. Notwithstanding anything to the contrary in the Plan, an Incentive Stock Option may not be granted under the Plan unless the Plan is approved by the Company’s shareholders and, following any such approval, may not be granted under the Plan after 10 years from the earlier of (i) the date the Board adopted the Plan or (ii) the date the Company’s shareholders approved the Plan, but Awards previously granted may extend beyond that date in accordance with the Plan.</w:t>
      </w:r>
    </w:p>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10.4</w:t>
      </w: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seek to obtain shareholder approval of any Plan amendment to the extent necessary to comply with Applicable Laws.</w:t>
      </w:r>
    </w:p>
    <w:p>
      <w:pPr>
        <w:spacing w:after="0" w:line="18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10.5</w:t>
      </w: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 procedures under the Plan to address requirements of Applicable Laws and differences in laws, rules, regulations or customs of such foreign jurisdictions with respect to tax, securities, currency, employee benefit or other matters;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Overall Share Limit or the Director Limit.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10.6</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1288"/>
        <w:spacing w:after="0" w:line="241" w:lineRule="auto"/>
        <w:tabs>
          <w:tab w:leader="none" w:pos="206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5"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62"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56" w:lineRule="auto"/>
        <w:tabs>
          <w:tab w:leader="none" w:pos="2062"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to Specified Employees</w:t>
      </w:r>
      <w:r>
        <w:rPr>
          <w:rFonts w:ascii="Times New Roman" w:cs="Times New Roman" w:eastAsia="Times New Roman" w:hAnsi="Times New Roman"/>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1"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10.7</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18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10.8</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84"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10.9</w:t>
      </w:r>
      <w:r>
        <w:rPr>
          <w:rFonts w:ascii="Times New Roman" w:cs="Times New Roman" w:eastAsia="Times New Roman" w:hAnsi="Times New Roman"/>
          <w:sz w:val="19"/>
          <w:szCs w:val="19"/>
          <w:u w:val="single" w:color="auto"/>
          <w:color w:val="auto"/>
        </w:rPr>
        <w:t>Data Privacy</w:t>
      </w:r>
      <w:r>
        <w:rPr>
          <w:rFonts w:ascii="Times New Roman" w:cs="Times New Roman" w:eastAsia="Times New Roman" w:hAnsi="Times New Roman"/>
          <w:sz w:val="19"/>
          <w:szCs w:val="19"/>
          <w:color w:val="auto"/>
        </w:rPr>
        <w:t>. To the extent necessary for the establishment, operation and administration of the Plan and any Awards, the Company and its Subsidiaries will process personal data relating to a Participant. Such processing is carried out for purposes including implementing, administering and managing the Participant’s participation in the Plan and complying with applicable legal, regulatory and reporting obligations. The personal data may include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9"/>
          <w:szCs w:val="19"/>
          <w:b w:val="1"/>
          <w:bCs w:val="1"/>
          <w:i w:val="1"/>
          <w:iCs w:val="1"/>
          <w:color w:val="auto"/>
        </w:rPr>
        <w:t>Data</w:t>
      </w:r>
      <w:r>
        <w:rPr>
          <w:rFonts w:ascii="Times New Roman" w:cs="Times New Roman" w:eastAsia="Times New Roman" w:hAnsi="Times New Roman"/>
          <w:sz w:val="19"/>
          <w:szCs w:val="19"/>
          <w:color w:val="auto"/>
        </w:rPr>
        <w:t>”). The Company may share Data with its Subsidiaries and affiliates and with third parties service providers (including plan administrator, brokers, payroll providers, professional advisors and regulators) where necessary for the purposes described above. Such recipients may be located outside the Participant’s country of residence. Where Data is transferred internationally, the Company will ensure that appropriate safeguards are in place in accordance with Applicable Laws. The Data related to a Participant will be held only as long as necessary to implement, administer, and manage the Participant’s participation in the Plan and to comply with Applicable Laws and regulatory requirements. Subject to Applicable Laws, a Participant may request access to, correction of, or further information about the Company’s processing of the Data, and may have the right to request deletion, restriction of processing, data portability, or to object to certain processing (including, where applicable, processing based on legitimate interests). Requests should be submitted to the Company’s privacy contact at Data.Privacy@air.global (or via the local HR representative where that is the established channel). A Participant may also have the right to lodge a complaint with the relevant supervisory authority. The Data is required to administer participation in the Plan. If a Participant does not provide required Data, or objects to processing that is necessary to administer the Plan and Awards, the Company may be unable to grant or administer Awards, process related tax obligations, or otherwise manage the Participant’s participation in the Plan to the extent permitted by applicable law. Where local law requires consent for a specific processing activity, the Company will obtain such consent separately for that activity, and any withdrawal will be handled in accordance with Applicable Laws.</w:t>
      </w:r>
    </w:p>
    <w:p>
      <w:pPr>
        <w:spacing w:after="0" w:line="19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10.10</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10.11</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80" w:lineRule="exact"/>
        <w:rPr>
          <w:sz w:val="20"/>
          <w:szCs w:val="20"/>
          <w:color w:val="auto"/>
        </w:rPr>
      </w:pPr>
    </w:p>
    <w:p>
      <w:pPr>
        <w:jc w:val="both"/>
        <w:ind w:left="300" w:right="299" w:firstLine="648"/>
        <w:spacing w:after="0" w:line="295"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Plan and all Awards will be governed by and interpreted in accordance with the laws of the State of Delaware, without giving effect to principles of conflicts of laws.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18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10.13</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10.14</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59"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10.15</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10.16</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11.1“</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180" w:lineRule="exact"/>
        <w:rPr>
          <w:sz w:val="20"/>
          <w:szCs w:val="20"/>
          <w:color w:val="auto"/>
        </w:rPr>
      </w:pPr>
    </w:p>
    <w:p>
      <w:pPr>
        <w:jc w:val="both"/>
        <w:ind w:left="300" w:right="319" w:firstLine="648"/>
        <w:spacing w:after="0" w:line="268" w:lineRule="auto"/>
        <w:rPr>
          <w:sz w:val="20"/>
          <w:szCs w:val="20"/>
          <w:color w:val="auto"/>
        </w:rPr>
      </w:pPr>
      <w:r>
        <w:rPr>
          <w:rFonts w:ascii="Times New Roman" w:cs="Times New Roman" w:eastAsia="Times New Roman" w:hAnsi="Times New Roman"/>
          <w:sz w:val="19"/>
          <w:szCs w:val="19"/>
          <w:color w:val="auto"/>
        </w:rPr>
        <w:t>11.2“</w:t>
      </w:r>
      <w:r>
        <w:rPr>
          <w:rFonts w:ascii="Times New Roman" w:cs="Times New Roman" w:eastAsia="Times New Roman" w:hAnsi="Times New Roman"/>
          <w:sz w:val="19"/>
          <w:szCs w:val="19"/>
          <w:b w:val="1"/>
          <w:bCs w:val="1"/>
          <w:i w:val="1"/>
          <w:iCs w:val="1"/>
          <w:color w:val="auto"/>
        </w:rPr>
        <w:t>Applicable Laws</w:t>
      </w:r>
      <w:r>
        <w:rPr>
          <w:rFonts w:ascii="Times New Roman" w:cs="Times New Roman" w:eastAsia="Times New Roman" w:hAnsi="Times New Roman"/>
          <w:sz w:val="19"/>
          <w:szCs w:val="19"/>
          <w:color w:val="auto"/>
        </w:rPr>
        <w:t>” means the requirements relating to the administration of equity incentive plans under U.S. federal and state securities, tax and other applicable laws, rules and regulations, the applicable rules of any stock exchange or quotation system on which the Shares are listed or quoted and the applicable laws and rules of any foreign country or other jurisdiction where Awards are granted.</w:t>
      </w:r>
    </w:p>
    <w:p>
      <w:pPr>
        <w:spacing w:after="0" w:line="158" w:lineRule="exact"/>
        <w:rPr>
          <w:sz w:val="20"/>
          <w:szCs w:val="20"/>
          <w:color w:val="auto"/>
        </w:rPr>
      </w:pPr>
    </w:p>
    <w:p>
      <w:pPr>
        <w:jc w:val="both"/>
        <w:ind w:left="300" w:right="319" w:firstLine="648"/>
        <w:spacing w:after="0" w:line="256" w:lineRule="auto"/>
        <w:rPr>
          <w:sz w:val="20"/>
          <w:szCs w:val="20"/>
          <w:color w:val="auto"/>
        </w:rPr>
      </w:pPr>
      <w:r>
        <w:rPr>
          <w:rFonts w:ascii="Times New Roman" w:cs="Times New Roman" w:eastAsia="Times New Roman" w:hAnsi="Times New Roman"/>
          <w:sz w:val="20"/>
          <w:szCs w:val="20"/>
          <w:color w:val="auto"/>
        </w:rPr>
        <w:t>11.3“</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Share Appreciation Rights, Restricted Shares, Restricted Share Units, Dividend Equivalents, or Other Share or Cash Based Awards.</w:t>
      </w:r>
    </w:p>
    <w:p>
      <w:pPr>
        <w:spacing w:after="0" w:line="169"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11.4“</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11.5“</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11.6“</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with respect to a Participant, “Cause” (or any term of similar effect) as defined in such Participant’s employment or service agreement with the Company or an affiliate thereof if such an agreement exists and contains a definition of Cause (or term of similar effect), or, if no such agreement exists or such agreement does not contain a definition of Cause (or term of similar effect), then “Cause” shall mean one or more of the following: (a) willful or negligent conduct causing (or that could reasonably be expected to cause) material harm to the business, finances, reputation of or otherwise in respect of the Company or any of its Subsidiaries; (b) dishonesty, material malfeasance or misconduct or fraud in connection with Participant’s employment or service to or in respect of the Company or any of its Subsidiaries; (c) a breach of the Participant’s fiduciary duties to the Company or any of its Subsidiaries or failure to follow the reasonable directives of Participant’s supervisor; (d) commission of, indictment for, or conviction of a criminal offence (other than a road traffic offence for which a non-custodial sentence is imposed), or (e) breach of any written agreement by and between Participant and the Company or any of its Subsidiaries or any applicable Company policy.</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11.7“</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w:t>
      </w:r>
    </w:p>
    <w:p>
      <w:pPr>
        <w:spacing w:after="0" w:line="220" w:lineRule="exact"/>
        <w:rPr>
          <w:sz w:val="20"/>
          <w:szCs w:val="20"/>
          <w:color w:val="auto"/>
        </w:rPr>
      </w:pPr>
    </w:p>
    <w:p>
      <w:pPr>
        <w:jc w:val="both"/>
        <w:ind w:left="300" w:right="299" w:firstLine="1288"/>
        <w:spacing w:after="0" w:line="242" w:lineRule="auto"/>
        <w:tabs>
          <w:tab w:leader="none" w:pos="20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Shares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Kingsway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92"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twelve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shareholders was approved by a vote of a majority of the Directors then still in office who either were Directors at the beginning of the twelve month period or whose election or nomination for election was previously so approved, cease for any reason to constitute a majority thereof; or</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6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shares of another entity, in each case other than a transaction:</w:t>
      </w:r>
    </w:p>
    <w:p>
      <w:pPr>
        <w:spacing w:after="0" w:line="184" w:lineRule="exact"/>
        <w:rPr>
          <w:rFonts w:ascii="Times New Roman" w:cs="Times New Roman" w:eastAsia="Times New Roman" w:hAnsi="Times New Roman"/>
          <w:sz w:val="20"/>
          <w:szCs w:val="20"/>
          <w:color w:val="auto"/>
        </w:rPr>
      </w:pPr>
    </w:p>
    <w:p>
      <w:pPr>
        <w:jc w:val="both"/>
        <w:ind w:left="300" w:right="299" w:firstLine="1936"/>
        <w:spacing w:after="0" w:line="244" w:lineRule="auto"/>
        <w:tabs>
          <w:tab w:leader="none" w:pos="2503"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directly or indirectly, at least a majority of the combined voting power of the Successor Entity’s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voting securities immediately after the transaction, and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189" w:lineRule="exact"/>
        <w:rPr>
          <w:sz w:val="20"/>
          <w:szCs w:val="20"/>
          <w:color w:val="auto"/>
        </w:rPr>
      </w:pPr>
    </w:p>
    <w:p>
      <w:pPr>
        <w:jc w:val="both"/>
        <w:ind w:left="300" w:right="319" w:firstLine="1944"/>
        <w:spacing w:after="0" w:line="246" w:lineRule="auto"/>
        <w:rPr>
          <w:sz w:val="20"/>
          <w:szCs w:val="20"/>
          <w:color w:val="auto"/>
        </w:rPr>
      </w:pPr>
      <w:r>
        <w:rPr>
          <w:rFonts w:ascii="Times New Roman" w:cs="Times New Roman" w:eastAsia="Times New Roman" w:hAnsi="Times New Roman"/>
          <w:sz w:val="20"/>
          <w:szCs w:val="20"/>
          <w:color w:val="auto"/>
        </w:rPr>
        <w:t xml:space="preserve">(ii)after which no person or group (other than Kingsway)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Notwithstanding the foregoing, in no event shall the consummation of the transactions contemplated by that certain Business Combination Agreement, dated as of November 7, 2025, by and among the Company, Cantor Equity Partners III, Inc., AIR Limited, Genesis Cayman Merger Sub Limited, Genesis Jersey Merger Sub Limited (as may be amended from time to time, the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Combination Agreement</w:t>
      </w:r>
      <w:r>
        <w:rPr>
          <w:rFonts w:ascii="Times New Roman" w:cs="Times New Roman" w:eastAsia="Times New Roman" w:hAnsi="Times New Roman"/>
          <w:sz w:val="20"/>
          <w:szCs w:val="20"/>
          <w:color w:val="auto"/>
        </w:rPr>
        <w:t>”), constitute a Change in Control and if a Change in Control constitutes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9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0"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11.8“</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152"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11.9“</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11.10“</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AIR Global PLC, a Jersey public limited company, or any successor.</w:t>
      </w:r>
    </w:p>
    <w:p>
      <w:pPr>
        <w:spacing w:after="0" w:line="21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11.11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any adviser, engaged by the Company or any of its Subsidiaries to render services to such entity if the consultant or adviser: (a) renders bona fide services to the Company; (b) renders services not in connection with the offer or sale of securities in a capital-raising transaction and does not directly or indirectly promote or maintain a market for the Company’s securities; and (c) is a natural person.</w:t>
      </w:r>
    </w:p>
    <w:p>
      <w:pPr>
        <w:spacing w:after="0" w:line="180"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11.12“</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11.13“</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Board member.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185"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11.14“</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69"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11.15“</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52"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11.16“</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date on which the transactions contemplated by the Business Combination Agreement are consummated, provided that the Board has adopted the Plan prior to or on such date.</w:t>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11.17“</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employee of the Company or its Subsidiaries.</w:t>
      </w:r>
    </w:p>
    <w:p>
      <w:pPr>
        <w:spacing w:after="0" w:line="216" w:lineRule="exact"/>
        <w:rPr>
          <w:sz w:val="20"/>
          <w:szCs w:val="20"/>
          <w:color w:val="auto"/>
        </w:rPr>
      </w:pPr>
    </w:p>
    <w:p>
      <w:pPr>
        <w:jc w:val="both"/>
        <w:ind w:left="300" w:right="299" w:firstLine="648"/>
        <w:spacing w:after="0" w:line="264" w:lineRule="auto"/>
        <w:rPr>
          <w:sz w:val="20"/>
          <w:szCs w:val="20"/>
          <w:color w:val="auto"/>
        </w:rPr>
      </w:pPr>
      <w:r>
        <w:rPr>
          <w:rFonts w:ascii="Times New Roman" w:cs="Times New Roman" w:eastAsia="Times New Roman" w:hAnsi="Times New Roman"/>
          <w:sz w:val="19"/>
          <w:szCs w:val="19"/>
          <w:color w:val="auto"/>
        </w:rPr>
        <w:t>11.18“</w:t>
      </w:r>
      <w:r>
        <w:rPr>
          <w:rFonts w:ascii="Times New Roman" w:cs="Times New Roman" w:eastAsia="Times New Roman" w:hAnsi="Times New Roman"/>
          <w:sz w:val="19"/>
          <w:szCs w:val="19"/>
          <w:b w:val="1"/>
          <w:bCs w:val="1"/>
          <w:i w:val="1"/>
          <w:iCs w:val="1"/>
          <w:color w:val="auto"/>
        </w:rPr>
        <w:t>Equity Restructuring</w:t>
      </w:r>
      <w:r>
        <w:rPr>
          <w:rFonts w:ascii="Times New Roman" w:cs="Times New Roman" w:eastAsia="Times New Roman" w:hAnsi="Times New Roman"/>
          <w:sz w:val="19"/>
          <w:szCs w:val="19"/>
          <w:color w:val="auto"/>
        </w:rPr>
        <w:t>” means, as determined by the Administrator, a non-reciprocal transaction between the Company and its shareholders, such as a share dividend, share split, spin-off or recapitalization through a large, nonrecurring cash dividend, or other large, nonrecurring cash dividend, that affects the Shares (or other securities of the Company) or the share price of Shares (or other securities of the Company) and causes a change in the per share value of the Shares underlying outstanding Awards.</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11.19“</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11.20“</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a Share determined as follows: (a)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(b) if the Shares are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(c) without an established market for the Shares, the Administrator will determine the Fair Market Value in its discretion.</w:t>
      </w:r>
    </w:p>
    <w:p>
      <w:pPr>
        <w:spacing w:after="0" w:line="182"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11.21“</w:t>
      </w:r>
      <w:r>
        <w:rPr>
          <w:rFonts w:ascii="Times New Roman" w:cs="Times New Roman" w:eastAsia="Times New Roman" w:hAnsi="Times New Roman"/>
          <w:sz w:val="20"/>
          <w:szCs w:val="20"/>
          <w:b w:val="1"/>
          <w:bCs w:val="1"/>
          <w:i w:val="1"/>
          <w:iCs w:val="1"/>
          <w:color w:val="auto"/>
        </w:rPr>
        <w:t>Greater Than 10% Shareholder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shares of the Company or its parent or subsidiary corporation, as defined in Section 424(e) and (f) of the Code, respectively.</w:t>
      </w:r>
    </w:p>
    <w:p>
      <w:pPr>
        <w:spacing w:after="0" w:line="176"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color w:val="auto"/>
        </w:rPr>
        <w:t>11.22“</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 Code.</w:t>
      </w:r>
    </w:p>
    <w:p>
      <w:pPr>
        <w:spacing w:after="0" w:line="152"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11.23“</w:t>
      </w:r>
      <w:r>
        <w:rPr>
          <w:rFonts w:ascii="Times New Roman" w:cs="Times New Roman" w:eastAsia="Times New Roman" w:hAnsi="Times New Roman"/>
          <w:sz w:val="20"/>
          <w:szCs w:val="20"/>
          <w:b w:val="1"/>
          <w:bCs w:val="1"/>
          <w:i w:val="1"/>
          <w:iCs w:val="1"/>
          <w:color w:val="auto"/>
        </w:rPr>
        <w:t>Kingsway</w:t>
      </w:r>
      <w:r>
        <w:rPr>
          <w:rFonts w:ascii="Times New Roman" w:cs="Times New Roman" w:eastAsia="Times New Roman" w:hAnsi="Times New Roman"/>
          <w:sz w:val="20"/>
          <w:szCs w:val="20"/>
          <w:color w:val="auto"/>
        </w:rPr>
        <w:t>” means Kingsway Capital Partners Limited or any funds, investors, entities or accounts that are managed, sponsored or advised by it or its affiliates.</w:t>
      </w:r>
    </w:p>
    <w:p>
      <w:pPr>
        <w:spacing w:after="0" w:line="152"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11.24“</w:t>
      </w:r>
      <w:r>
        <w:rPr>
          <w:rFonts w:ascii="Times New Roman" w:cs="Times New Roman" w:eastAsia="Times New Roman" w:hAnsi="Times New Roman"/>
          <w:sz w:val="20"/>
          <w:szCs w:val="20"/>
          <w:b w:val="1"/>
          <w:bCs w:val="1"/>
          <w:i w:val="1"/>
          <w:iCs w:val="1"/>
          <w:color w:val="auto"/>
        </w:rPr>
        <w:t>Non-Qualified Option</w:t>
      </w:r>
      <w:r>
        <w:rPr>
          <w:rFonts w:ascii="Times New Roman" w:cs="Times New Roman" w:eastAsia="Times New Roman" w:hAnsi="Times New Roman"/>
          <w:sz w:val="20"/>
          <w:szCs w:val="20"/>
          <w:color w:val="auto"/>
        </w:rPr>
        <w:t>” means an Option, or portion thereof, not intended or not qualifying as an Incentive Stock Option.</w:t>
      </w:r>
    </w:p>
    <w:p>
      <w:pPr>
        <w:spacing w:after="0" w:line="152"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color w:val="auto"/>
        </w:rPr>
        <w:t>11.25“</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an option to purchase Shares, which will either be an Incentive Stock Option or a Non-Qualified Option.</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11.26“</w:t>
      </w:r>
      <w:r>
        <w:rPr>
          <w:rFonts w:ascii="Times New Roman" w:cs="Times New Roman" w:eastAsia="Times New Roman" w:hAnsi="Times New Roman"/>
          <w:sz w:val="20"/>
          <w:szCs w:val="20"/>
          <w:b w:val="1"/>
          <w:bCs w:val="1"/>
          <w:i w:val="1"/>
          <w:iCs w:val="1"/>
          <w:color w:val="auto"/>
        </w:rPr>
        <w:t>Ordinary Shares</w:t>
      </w:r>
      <w:r>
        <w:rPr>
          <w:rFonts w:ascii="Times New Roman" w:cs="Times New Roman" w:eastAsia="Times New Roman" w:hAnsi="Times New Roman"/>
          <w:sz w:val="20"/>
          <w:szCs w:val="20"/>
          <w:color w:val="auto"/>
        </w:rPr>
        <w:t>” means the ordinary shares of the Company, par value $0.0001.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185"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11.27“</w:t>
      </w:r>
      <w:r>
        <w:rPr>
          <w:rFonts w:ascii="Times New Roman" w:cs="Times New Roman" w:eastAsia="Times New Roman" w:hAnsi="Times New Roman"/>
          <w:sz w:val="20"/>
          <w:szCs w:val="20"/>
          <w:b w:val="1"/>
          <w:bCs w:val="1"/>
          <w:i w:val="1"/>
          <w:iCs w:val="1"/>
          <w:color w:val="auto"/>
        </w:rPr>
        <w:t>Organizational Documents</w:t>
      </w:r>
      <w:r>
        <w:rPr>
          <w:rFonts w:ascii="Times New Roman" w:cs="Times New Roman" w:eastAsia="Times New Roman" w:hAnsi="Times New Roman"/>
          <w:sz w:val="20"/>
          <w:szCs w:val="20"/>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7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11.28“</w:t>
      </w:r>
      <w:r>
        <w:rPr>
          <w:rFonts w:ascii="Times New Roman" w:cs="Times New Roman" w:eastAsia="Times New Roman" w:hAnsi="Times New Roman"/>
          <w:sz w:val="20"/>
          <w:szCs w:val="20"/>
          <w:b w:val="1"/>
          <w:bCs w:val="1"/>
          <w:i w:val="1"/>
          <w:iCs w:val="1"/>
          <w:color w:val="auto"/>
        </w:rPr>
        <w:t>Other Share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 awarded to a Participant under Article VII.</w:t>
      </w:r>
    </w:p>
    <w:p>
      <w:pPr>
        <w:spacing w:after="0" w:line="169"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11.29“</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(a) 14,559,998 Shares; and (b) an annual increase on the first day of each calendar year beginning January 1, 2027 and ending on and including January 1, 2036, equal to the lesser of (i) 3% of the aggregate number of Shares outstanding as of the last day of the immediately preceding fiscal year and (ii) such smaller number of Shares as is determined by the Board.</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11.30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Service Provider who has been granted an Award.</w:t>
      </w:r>
    </w:p>
    <w:p>
      <w:pPr>
        <w:spacing w:after="0" w:line="216"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11.31“</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portfolio or acquisition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204"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11.32“</w:t>
      </w:r>
      <w:r>
        <w:rPr>
          <w:rFonts w:ascii="Times New Roman" w:cs="Times New Roman" w:eastAsia="Times New Roman" w:hAnsi="Times New Roman"/>
          <w:sz w:val="20"/>
          <w:szCs w:val="20"/>
          <w:b w:val="1"/>
          <w:bCs w:val="1"/>
          <w:i w:val="1"/>
          <w:iCs w:val="1"/>
          <w:color w:val="auto"/>
        </w:rPr>
        <w:t>Prior Plans</w:t>
      </w:r>
      <w:r>
        <w:rPr>
          <w:rFonts w:ascii="Times New Roman" w:cs="Times New Roman" w:eastAsia="Times New Roman" w:hAnsi="Times New Roman"/>
          <w:sz w:val="20"/>
          <w:szCs w:val="20"/>
          <w:color w:val="auto"/>
        </w:rPr>
        <w:t>” means the AIR Employee Share Plan 2021, and any schedules thereto, in each case, as amended, and the AIR Management Incentive Plan adopted May 2024, as amended on April 10, 2025 and on September 29, 2025, and any schedules thereto, in each case, as further amended from time to time.</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11.33“</w:t>
      </w:r>
      <w:r>
        <w:rPr>
          <w:rFonts w:ascii="Times New Roman" w:cs="Times New Roman" w:eastAsia="Times New Roman" w:hAnsi="Times New Roman"/>
          <w:sz w:val="19"/>
          <w:szCs w:val="19"/>
          <w:b w:val="1"/>
          <w:bCs w:val="1"/>
          <w:i w:val="1"/>
          <w:iCs w:val="1"/>
          <w:color w:val="auto"/>
        </w:rPr>
        <w:t>Prior Plan Awards</w:t>
      </w:r>
      <w:r>
        <w:rPr>
          <w:rFonts w:ascii="Times New Roman" w:cs="Times New Roman" w:eastAsia="Times New Roman" w:hAnsi="Times New Roman"/>
          <w:sz w:val="19"/>
          <w:szCs w:val="19"/>
          <w:color w:val="auto"/>
        </w:rPr>
        <w:t>” means any award outstanding under the Prior Plans as of the Effective</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11.34“</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2026 Incentive Award Plan, as may be amended from time to time.</w:t>
      </w:r>
    </w:p>
    <w:p>
      <w:pPr>
        <w:spacing w:after="0" w:line="216" w:lineRule="exact"/>
        <w:rPr>
          <w:sz w:val="20"/>
          <w:szCs w:val="20"/>
          <w:color w:val="auto"/>
        </w:rPr>
      </w:pPr>
    </w:p>
    <w:p>
      <w:pPr>
        <w:jc w:val="both"/>
        <w:ind w:left="300" w:right="299" w:firstLine="648"/>
        <w:spacing w:after="0" w:line="273" w:lineRule="auto"/>
        <w:rPr>
          <w:sz w:val="20"/>
          <w:szCs w:val="20"/>
          <w:color w:val="auto"/>
        </w:rPr>
      </w:pPr>
      <w:r>
        <w:rPr>
          <w:rFonts w:ascii="Times New Roman" w:cs="Times New Roman" w:eastAsia="Times New Roman" w:hAnsi="Times New Roman"/>
          <w:sz w:val="20"/>
          <w:szCs w:val="20"/>
          <w:color w:val="auto"/>
        </w:rPr>
        <w:t>11.35“</w:t>
      </w:r>
      <w:r>
        <w:rPr>
          <w:rFonts w:ascii="Times New Roman" w:cs="Times New Roman" w:eastAsia="Times New Roman" w:hAnsi="Times New Roman"/>
          <w:sz w:val="20"/>
          <w:szCs w:val="20"/>
          <w:b w:val="1"/>
          <w:bCs w:val="1"/>
          <w:i w:val="1"/>
          <w:iCs w:val="1"/>
          <w:color w:val="auto"/>
        </w:rPr>
        <w:t>Restricted Shares</w:t>
      </w:r>
      <w:r>
        <w:rPr>
          <w:rFonts w:ascii="Times New Roman" w:cs="Times New Roman" w:eastAsia="Times New Roman" w:hAnsi="Times New Roman"/>
          <w:sz w:val="20"/>
          <w:szCs w:val="20"/>
          <w:color w:val="auto"/>
        </w:rPr>
        <w:t>” means Shares awarded to a Participant under Article VI subject to certain vesting conditions and other restrictions.</w:t>
      </w:r>
    </w:p>
    <w:p>
      <w:pPr>
        <w:spacing w:after="0" w:line="152"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11.36“</w:t>
      </w:r>
      <w:r>
        <w:rPr>
          <w:rFonts w:ascii="Times New Roman" w:cs="Times New Roman" w:eastAsia="Times New Roman" w:hAnsi="Times New Roman"/>
          <w:sz w:val="20"/>
          <w:szCs w:val="20"/>
          <w:b w:val="1"/>
          <w:bCs w:val="1"/>
          <w:i w:val="1"/>
          <w:iCs w:val="1"/>
          <w:color w:val="auto"/>
        </w:rPr>
        <w:t>Restricted Share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11.37“</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6"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11.38“</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11.39“</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11.40“</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means an Employee, Consultant or Director.</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11.41“</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means Ordinary Shares.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11.42“</w:t>
      </w:r>
      <w:r>
        <w:rPr>
          <w:rFonts w:ascii="Times New Roman" w:cs="Times New Roman" w:eastAsia="Times New Roman" w:hAnsi="Times New Roman"/>
          <w:sz w:val="20"/>
          <w:szCs w:val="20"/>
          <w:b w:val="1"/>
          <w:bCs w:val="1"/>
          <w:i w:val="1"/>
          <w:iCs w:val="1"/>
          <w:color w:val="auto"/>
        </w:rPr>
        <w:t>Share Appreciation Right</w:t>
      </w:r>
      <w:r>
        <w:rPr>
          <w:rFonts w:ascii="Times New Roman" w:cs="Times New Roman" w:eastAsia="Times New Roman" w:hAnsi="Times New Roman"/>
          <w:sz w:val="20"/>
          <w:szCs w:val="20"/>
          <w:color w:val="auto"/>
        </w:rPr>
        <w:t>” means a Share appreciation right granted under Article V.</w:t>
      </w:r>
    </w:p>
    <w:p>
      <w:pPr>
        <w:spacing w:after="0" w:line="21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11.43“</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80"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11.44“</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11.45“</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 means the date the Participant ceases to be a Service Provider.</w:t>
      </w:r>
    </w:p>
    <w:p>
      <w:pPr>
        <w:spacing w:after="0" w:line="21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20"/>
          <w:szCs w:val="20"/>
          <w:color w:val="auto"/>
        </w:rPr>
        <w:t>11.46“</w:t>
      </w:r>
      <w:r>
        <w:rPr>
          <w:rFonts w:ascii="Times New Roman" w:cs="Times New Roman" w:eastAsia="Times New Roman" w:hAnsi="Times New Roman"/>
          <w:sz w:val="20"/>
          <w:szCs w:val="20"/>
          <w:b w:val="1"/>
          <w:bCs w:val="1"/>
          <w:i w:val="1"/>
          <w:iCs w:val="1"/>
          <w:color w:val="auto"/>
        </w:rPr>
        <w:t>Unvested Prior Plan Awards</w:t>
      </w:r>
      <w:r>
        <w:rPr>
          <w:rFonts w:ascii="Times New Roman" w:cs="Times New Roman" w:eastAsia="Times New Roman" w:hAnsi="Times New Roman"/>
          <w:sz w:val="20"/>
          <w:szCs w:val="20"/>
          <w:color w:val="auto"/>
        </w:rPr>
        <w:t>” means any award outstanding under the Prior Plans as of the Effective Date and which constitutes an Excluded Unvested LTIP Award (as defined in the Business Combination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the Proxy Statement/Prospectus.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statement of financial position as of December 31, 2025 combines the historical statement of financial position of Pubco as of December 31, 2025, the historical consolidated statement of financial position of AIR as of December 31, 2025 and the historical balance sheet of CAEP as of December 31, 2025 on a pro forma basis as if the Business Combination and related Transactions had been consummated on December 31, 2025.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comprehensive income for the year ended December 31, 2025 combines the historical statement of loss of Pubco for the period from October 28, 2025 to December 31, 2025, the historical consolidated statement of comprehensive income of AIR for such period and statements of operations and comprehensive income of CAEP for such period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the Business Combination and related Transactions had been consummated on January 1, 2025.</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information has been presented for illustrative purposes only and is not necessarily indicative of the financial position and results of operations that would have been achieved had the Business Combination and related Transactions occurred on the dates indicated above. Further, the unaudited pro forma condensed combined financial information may not be useful in predicting the future financial condition and results of operations of Pubco. The actual financial position and results of operations may differ significantly from the amounts reflected in the unaudited pro forma condensed combined financial information reflected herein due to a variety of factors. The unaudited pro forma adjustments represent management’s estimates based on information available as of the date of the unaudited pro forma condensed combined financial information and is subject to change as additional information becomes available and analyses are performed. This information should be read together with Pubco’s, AIR’s and CAEP’s financial statements and related notes, as applicable, and the sections titled </w:t>
      </w:r>
      <w:r>
        <w:rPr>
          <w:rFonts w:ascii="Times New Roman" w:cs="Times New Roman" w:eastAsia="Times New Roman" w:hAnsi="Times New Roman"/>
          <w:sz w:val="18"/>
          <w:szCs w:val="18"/>
          <w:i w:val="1"/>
          <w:iCs w:val="1"/>
          <w:color w:val="auto"/>
        </w:rPr>
        <w:t>“AIR’s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“CAEP’s Management’s Discussion and Analysis of Financial Condition and Results of Operations,” </w:t>
      </w:r>
      <w:r>
        <w:rPr>
          <w:rFonts w:ascii="Times New Roman" w:cs="Times New Roman" w:eastAsia="Times New Roman" w:hAnsi="Times New Roman"/>
          <w:sz w:val="18"/>
          <w:szCs w:val="18"/>
          <w:color w:val="auto"/>
        </w:rPr>
        <w:t>and other financial information included elsewhere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November 7, 2025, AIR, CAEP, Pubco, Cayman Merger Sub, and Jersey Merger Sub entered into the Business Combination Agreement. The Business Combination closed on May 15, 2026 pursuant to the terms and conditions of the Business Combination Agreement through the following steps:</w:t>
      </w:r>
    </w:p>
    <w:p>
      <w:pPr>
        <w:spacing w:after="0" w:line="68" w:lineRule="exact"/>
        <w:rPr>
          <w:sz w:val="20"/>
          <w:szCs w:val="20"/>
          <w:color w:val="auto"/>
        </w:rPr>
      </w:pPr>
    </w:p>
    <w:p>
      <w:pPr>
        <w:jc w:val="both"/>
        <w:ind w:left="880" w:hanging="436"/>
        <w:spacing w:after="0" w:line="254" w:lineRule="auto"/>
        <w:tabs>
          <w:tab w:leader="none" w:pos="8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Cayman Effective Time, the Cayman Merger Sub merged with and into CAEP in the Cayman Merger, as a result of which (i) the separate corporate existence of Cayman Merger Sub ceased and CAEP continued as the surviving entity in the Cayman Merger and a wholly owned direct subsidiary of Pubco, and (ii) each issued and outstanding CAEP Class A Ordinary Share, including those converted from CAEP Class B Ordinary Shares (other than those surrendered by the Sponsor) but excluding Excluded CAEP Shares, CAEP Redeeming Shares or CAEP Dissenting Shares, are no longer outstanding and have been cancelled, in exchange for the Per Share Cayman Consideration equal to one Pubco Ordinary Share, as described in the section entitled, “</w:t>
      </w:r>
      <w:r>
        <w:rPr>
          <w:rFonts w:ascii="Times New Roman" w:cs="Times New Roman" w:eastAsia="Times New Roman" w:hAnsi="Times New Roman"/>
          <w:sz w:val="18"/>
          <w:szCs w:val="18"/>
          <w:i w:val="1"/>
          <w:iCs w:val="1"/>
          <w:color w:val="auto"/>
        </w:rPr>
        <w:t>The Business Combination Agreement and Ancillary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Combination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Consideration to be Received in the Business Combination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CAEP Consideration” </w:t>
      </w:r>
      <w:r>
        <w:rPr>
          <w:rFonts w:ascii="Times New Roman" w:cs="Times New Roman" w:eastAsia="Times New Roman" w:hAnsi="Times New Roman"/>
          <w:sz w:val="18"/>
          <w:szCs w:val="18"/>
          <w:color w:val="auto"/>
        </w:rPr>
        <w:t>in the Proxy Statement/Prospectus.</w:t>
      </w:r>
    </w:p>
    <w:p>
      <w:pPr>
        <w:spacing w:after="0" w:line="80"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Excluded CAEP Share, CAEP Redeeming Share and CAEP Dissenting Share has been cancelled and has ceased to exist.</w:t>
      </w:r>
    </w:p>
    <w:p>
      <w:pPr>
        <w:spacing w:after="0" w:line="53" w:lineRule="exact"/>
        <w:rPr>
          <w:rFonts w:ascii="Times New Roman" w:cs="Times New Roman" w:eastAsia="Times New Roman" w:hAnsi="Times New Roman"/>
          <w:sz w:val="18"/>
          <w:szCs w:val="18"/>
          <w:color w:val="auto"/>
        </w:rPr>
      </w:pPr>
    </w:p>
    <w:p>
      <w:pPr>
        <w:jc w:val="both"/>
        <w:ind w:left="880" w:hanging="436"/>
        <w:spacing w:after="0" w:line="253" w:lineRule="auto"/>
        <w:tabs>
          <w:tab w:leader="none" w:pos="8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of the Pubco Ordinary Shares that the Sponsor received at the Cayman Effective Time have been designated as “Sponsor Earnout Shares” and are subject to redesignation, redemption and cancellation by Pubco if a release event has not occurred on or prior to the date which is five (5) years following the Cayman Closing Date (Termination Date). A release event includes the following: (a) an Early Release Event as defined in the Sponsor Support Agreement, (b) for 750,000 of the Sponsor Earnout Shares, a closing price of the Pubco Ordinary Shares on the principal exchange on which such securities are then listed or quoted is at or above $12.50 for twenty (20) trading days (which need not be consecutive) over a consecutive (30) trading day period at any time after the Cayman Closing Date and on or prior to the Termination Date, and (c) for the remaining 750,000 of the Sponsor Earnout Shares, a closing price of the Pubco Ordinary Shares on the principal exchange on which such securities are then listed or quoted is at or above $15.00 for twenty (20) trading days (which need not be consecutive) over a consecutive (30) trading day period at any time after the Cayman Closing Date and on or prior to the Termination Date.</w:t>
      </w:r>
    </w:p>
    <w:p>
      <w:pPr>
        <w:spacing w:after="0" w:line="8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Cayman Merger Sub continues to exist and is being held by Pubco and constitutes the only issued and outstanding shares in the capital of CAEP as the surviving Cayman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367030</wp:posOffset>
            </wp:positionV>
            <wp:extent cx="70377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846" w:right="1099" w:bottom="1440" w:gutter="0" w:footer="0" w:header="0"/>
        </w:sectPr>
      </w:pPr>
    </w:p>
    <w:bookmarkStart w:id="146" w:name="page147"/>
    <w:bookmarkEnd w:id="146"/>
    <w:p>
      <w:pPr>
        <w:jc w:val="both"/>
        <w:ind w:left="880" w:hanging="436"/>
        <w:spacing w:after="0" w:line="256"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Jersey Effective Time, Jersey Merger Sub merged with and into AIR in the Jersey Merger, as a result of which (i) the separate corporate existence of Jersey Merger Sub ceased and AIR continued as the surviving entity and a wholly owned subsidiary of Pubco, and (ii) each issued and outstanding ordinary share of AIR was transferred to Pubco in exchange for the right of the holder thereof to receive the Per Share Jersey Consideration as described in the section entitled “</w:t>
      </w:r>
      <w:r>
        <w:rPr>
          <w:rFonts w:ascii="Times New Roman" w:cs="Times New Roman" w:eastAsia="Times New Roman" w:hAnsi="Times New Roman"/>
          <w:sz w:val="18"/>
          <w:szCs w:val="18"/>
          <w:i w:val="1"/>
          <w:iCs w:val="1"/>
          <w:color w:val="auto"/>
        </w:rPr>
        <w:t>The Business Combination Agreement and Ancillary Documents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Consideration to be Received in the Business Combination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AIR Consideration” </w:t>
      </w:r>
      <w:r>
        <w:rPr>
          <w:rFonts w:ascii="Times New Roman" w:cs="Times New Roman" w:eastAsia="Times New Roman" w:hAnsi="Times New Roman"/>
          <w:sz w:val="18"/>
          <w:szCs w:val="18"/>
          <w:color w:val="auto"/>
        </w:rPr>
        <w:t>in the Proxy Statement/Prospectus.</w:t>
      </w:r>
    </w:p>
    <w:p>
      <w:pPr>
        <w:spacing w:after="0" w:line="79" w:lineRule="exact"/>
        <w:rPr>
          <w:rFonts w:ascii="Times New Roman" w:cs="Times New Roman" w:eastAsia="Times New Roman" w:hAnsi="Times New Roman"/>
          <w:sz w:val="18"/>
          <w:szCs w:val="18"/>
          <w:color w:val="auto"/>
        </w:rPr>
      </w:pPr>
    </w:p>
    <w:p>
      <w:pPr>
        <w:jc w:val="both"/>
        <w:ind w:left="880" w:hanging="436"/>
        <w:spacing w:after="0" w:line="254"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Pubco Ordinary Shares issuable in respect of AIR Ordinary Shares were designated as “AIR Earnout Shares” and are subject to redesignation, redemption and cancellation until the earlier of (a) an Early Release Event as defined in the Business Combination Agreement and (b) the last trading date of the period in which the closing price of the Pubco Ordinary shares on the principal exchange which such securities are then listed or quoted is at or above $12.50 for twenty (20) trading days (which need not be consecutive) over a consecutive thirty (30) trading day period at any time during the period of five (5) years following the Jersey Closing Date. In the event that the conditions described above have not occurred on or prior to the date which is five (5) years following the Jersey Closing Date, the AIR Earnout Shares will be automatically redesigned, redeemed, and cancelled.</w:t>
      </w:r>
    </w:p>
    <w:p>
      <w:pPr>
        <w:spacing w:after="0" w:line="83"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Jersey Closing, each party to the Business Combination Agreement ensured that the Pubco Board initially comprised of, and the officers of Pubco were initially, the individuals designated by AIR, subject to applicable listing requirements, prior to the Cayman Closing.</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special resolution of the holders of Pubco Ordinary Shares, the Pubco shareholders approved the adoption of the A&amp;R Pubco Articles with effect from the shareholder approval matters being approved at the Meeting Pubco shareholders.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adopted the A&amp;R Pubco Articles and converted from a private limited company into a public limited company and the ordinary shares in the capital of Pubco which were issued to the Pubco Nominees (Ronan Barry and Mary-Ann Orr) on the incorporation of Pubco were redesignated as redeemable deferred shares and then immediately redeemed and cancelled in accordance with the provisions of the A&amp;R Pubco Articles and the Jersey Companies Law.</w:t>
      </w:r>
    </w:p>
    <w:p>
      <w:pPr>
        <w:spacing w:after="0" w:line="71"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filing of the applicable Form S-8 registration statement for the Pubco Equity Incentive Plan, Pubco will issue the Company Top Up Awards under the PubCo Equity Incentive Plan, which will vest and be settled following the expiration of the six-month lock-up period after the Jersey Effective Time.</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54" w:lineRule="auto"/>
        <w:tabs>
          <w:tab w:leader="none" w:pos="8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filing of the applicable Form S-8 registration statement for the PubCo Equity Incentive Plan, Pubco will issue to each holder of a Vested Company Equity Award who remains employed by Pubco or one of its subsidiaries a new award in the form of restricted stock units under the Pubco Equity Incentive Plan as a Pubco Earnout RSU award. Each such holder will be entitled to receive the number of Pubco Earnout RSUs equal to the number of Earnout Company Shares such holder would have received if he or she had been entitled to the Per Share Jersey Merger Consideration in respect of the number of Company Ordinary Shares issuable under the Vested Company Equity Award. The Pubco Earnout RSUs will be subject to the same vesting requirements as the Earnout Company Shares, provided that the vesting of such Pubco Earnout RSUs will also be subject to such recipient’s continuous employment or service through the applicable vesting date of such Pubco Earnout RSUs.</w:t>
      </w:r>
    </w:p>
    <w:p>
      <w:pPr>
        <w:spacing w:after="0" w:line="29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On May 11, 2026, CAEP, and, following the business combination, Pubco and CAEP entered into an agreement (the “Forward Purchase Agreement”) with Harraden Circle Investors, LP, Harraden Circle Special Opportunities, LP, Harraden Circle Strategic Investments, LP and Harraden Circle Concentrated, LP (collectively, the “Seller”). Under the Forward Purchase Agreement, the Seller purchased 5,000,000 CAEP Class A Ordinary Shares, par value $0.0001 per share, in accordance with the terms and conditions therein. On the prepayment date, Pubco paid the Seller from CAEP’s trust account an amount equal to the number of shares subject to the transaction multiplied by the redemption price at the closing of the Business Combination, totaling $52.4 million (the “Prepayment Amount”). The transaction will settle physically, with the Seller permitted to sell subject shares after closing subject to a minimum sale price of $10.00 per share, a daily volume cap of 15% of trading volume, and mandatory early termination and payment provisions for shares sold, including additional payments to Pubco if shares are sold above $15.00 per share. Any shares not sold by the valuation date (“FPA Closing Date”), which is six months after closing unless accelerated or extended under the agreement, must be returned to the Counterparty while the Seller will retain the related Prepayment Amount.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capital reorganization in accordance with IFRS. Under this method of accounting, CAEP was treated as the “acquired” company for financial reporting purposes. Accordingly, the Business Combination was treated as the equivalent of AIR issuing shares in exchange for the net assets of CAEP as of the Cayman Effective Time, accompanied by a recapitalization of AIR as of the Jersey Effective Time. The net assets of CAEP were stated at historical cost, with no goodwill or other intangible assets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381000</wp:posOffset>
            </wp:positionV>
            <wp:extent cx="70377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58" w:right="1099" w:bottom="1440" w:gutter="0" w:footer="0" w:header="0"/>
        </w:sectPr>
      </w:pPr>
    </w:p>
    <w:bookmarkStart w:id="147" w:name="page148"/>
    <w:bookmarkEnd w:id="147"/>
    <w:p>
      <w:pPr>
        <w:ind w:firstLine="441"/>
        <w:spacing w:after="0" w:line="282" w:lineRule="auto"/>
        <w:rPr>
          <w:sz w:val="20"/>
          <w:szCs w:val="20"/>
          <w:color w:val="auto"/>
        </w:rPr>
      </w:pPr>
      <w:r>
        <w:rPr>
          <w:rFonts w:ascii="Times New Roman" w:cs="Times New Roman" w:eastAsia="Times New Roman" w:hAnsi="Times New Roman"/>
          <w:sz w:val="18"/>
          <w:szCs w:val="18"/>
          <w:color w:val="auto"/>
        </w:rPr>
        <w:t>AIR was determined to be the accounting acquirer, for financial reporting purposes, based on evaluation of the following facts and circumstances:</w:t>
      </w:r>
    </w:p>
    <w:p>
      <w:pPr>
        <w:spacing w:after="0" w:line="54" w:lineRule="exact"/>
        <w:rPr>
          <w:sz w:val="20"/>
          <w:szCs w:val="20"/>
          <w:color w:val="auto"/>
        </w:rPr>
      </w:pPr>
    </w:p>
    <w:p>
      <w:pPr>
        <w:ind w:left="880" w:hanging="436"/>
        <w:spacing w:after="0"/>
        <w:tabs>
          <w:tab w:leader="none" w:pos="8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Shareholders have the largest voting interest in Pubco;</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Pubco Board has eight members, all of whom have been nominated by AIR;</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AIR’s senior management is the senior management of Pubco;</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AIR comprises the ongoing operations of Pubco;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is the larger entity, in terms of substantive operations and employee base.</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Business Combination, which is not within the scope of IFRS 3 – Business Combinations (“IFRS 3”) since CAEP does not meet the definition of a “business” in accordance with IFRS 3, has been accounted for within the scope of IFRS 2 – Share-based Payment (“IFRS 2”). In addition, Pubco, Cayman Merger Sub and Jersey Merger Sub were incorporated for the sole purpose of effectuating the merger and did not meet the definition of a business under IFRS 3. Pubco Ordinary Shares, including AIR Earnout Shares, received by AIR Shareholders as the Per Share Jersey Consideration in exchange for AIR Ordinary Shares have been accounted for as a common control transaction among existing shareholders. The AIR Earnout Shares have been classified within equity as the number of Pubco Ordinary Shares issued in exchange for AIR’s Ordinary Shares were fixed and known at the Closing Date and there will be no cash settlement if AIR Earnout Shares are redeemed subject to AIR Earnout Conditions. Accordingly, the exchange of such shares has been recognized as a recapitalization transaction within Pubco’s equity, with no impact on loss for the year within the unaudited pro forma condensed combined statement of comprehensive income.</w:t>
      </w:r>
    </w:p>
    <w:p>
      <w:pPr>
        <w:spacing w:after="0" w:line="19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Any excess of fair value of Pubco Ordinary Shares issued over the fair value of CAEP’s identifiable net assets acquired at the Cayman Effective Time represents compensation for the service of a stock exchange listing for Pubco shares and has been expensed as incurred. In addition, as the Sponsor Earnout Shares are included in the Per Share Cayman Merger Consideration paid to CAEP Shareholders at the Cayman Effective Time in exchange for the listing service and have been accounted for in accordance with IFRS 2 and recorded at fair value as a listing expense with an increase to Pubco’s equity. The Sponsor Earnout Shares have been classified in equity because as they have been settled by delivering a fixed number of Pubco Ordinary Shares in exchange for a fixed number of CAEP’s Class A Ordinary Shares were known at the date of the Business Combination and there will be no cash settlement if Sponsor Earnout Shares are redeemed subject to Sponsor Earnout Condition.</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Company Top Up Awards to be issued by Pubco are accounted for as equity-classified share-based payments under IFRS 2 as these awards will be settled by issuing Pubco Ordinary Shares and there is no cash settlement option or alternative.</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Pubco Earnout RSUs to be issued by Pubco are accounted for as equity-classified share-based payments under IFRS 2 as these awards will be settled by issuing Pubco Ordinary Shares and there is no cash settlement option or alternative. These awards will be granted and will begin vesting upon the final Board approval of the final terms and conditions of the Pubco Equity Incentive Plan, which is after the Jersey Effective Time, and hence are only considered for the purposes of the unaudited pro forma condensed combined statement of comprehensive income but not for the purposes of the unaudited pro forma condensed combined statement of financial position.</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Forward Purchase Agreement is expected to be accounted for as an own-share / treasury share arrangement under IAS 32 ‘</w:t>
      </w:r>
      <w:r>
        <w:rPr>
          <w:rFonts w:ascii="Times New Roman" w:cs="Times New Roman" w:eastAsia="Times New Roman" w:hAnsi="Times New Roman"/>
          <w:sz w:val="18"/>
          <w:szCs w:val="18"/>
          <w:i w:val="1"/>
          <w:iCs w:val="1"/>
          <w:color w:val="auto"/>
        </w:rPr>
        <w:t>Financial Instruments: Presentation</w:t>
      </w:r>
      <w:r>
        <w:rPr>
          <w:rFonts w:ascii="Times New Roman" w:cs="Times New Roman" w:eastAsia="Times New Roman" w:hAnsi="Times New Roman"/>
          <w:sz w:val="18"/>
          <w:szCs w:val="18"/>
          <w:color w:val="auto"/>
        </w:rPr>
        <w:t>’ as the Seller does not have substantive rights (in terms of restriction of selling the Pubco Ordinary Shares under $10 per share, pledging and limited duration of Pubco Ordinary Share ownership) of an unrestricted shareholder for securities acquired under this arrangement. The Pubco Ordinary Shares although issued legally, will be considered to have been repurchased by Pubco at the time of Jersey Closing. This will result in the recognition of share capital and share premium to reflect the legal issuance of the subject Pubco Ordinary Shares and a corresponding adjustment to recognise a treasury share reserve to reflect a potential legal transfer of the subject Pubco Ordinary Shares to Pubco at the FPA Closing Date in case the Seller is unable to sell the Pubco Ordinary Shares during the six months subsequent to Jersey Closing. Therefore, the transaction will result in a movement between equity to recognize a share buy-back reserve.</w:t>
      </w:r>
    </w:p>
    <w:p>
      <w:pPr>
        <w:spacing w:after="0" w:line="18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arrangement does not represent any service being provided by the Seller to Pubco and hence, this arrangement is not expected to be accounted for under IFRS 2 and no corresponding expense will be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367030</wp:posOffset>
            </wp:positionV>
            <wp:extent cx="70377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66" w:right="1099" w:bottom="1440" w:gutter="0" w:footer="0" w:header="0"/>
        </w:sectPr>
      </w:pPr>
    </w:p>
    <w:bookmarkStart w:id="148" w:name="page149"/>
    <w:bookmarkEnd w:id="148"/>
    <w:p>
      <w:pPr>
        <w:ind w:firstLine="441"/>
        <w:spacing w:after="0" w:line="282" w:lineRule="auto"/>
        <w:rPr>
          <w:sz w:val="20"/>
          <w:szCs w:val="20"/>
          <w:color w:val="auto"/>
        </w:rPr>
      </w:pPr>
      <w:r>
        <w:rPr>
          <w:rFonts w:ascii="Times New Roman" w:cs="Times New Roman" w:eastAsia="Times New Roman" w:hAnsi="Times New Roman"/>
          <w:sz w:val="18"/>
          <w:szCs w:val="18"/>
          <w:color w:val="auto"/>
        </w:rPr>
        <w:t>The expected accounting for the settlement of the Forward Purchase Agreement has been considered under the following outcomes at the FPA Closing Date:</w:t>
      </w:r>
    </w:p>
    <w:p>
      <w:pPr>
        <w:spacing w:after="0" w:line="54" w:lineRule="exact"/>
        <w:rPr>
          <w:sz w:val="20"/>
          <w:szCs w:val="20"/>
          <w:color w:val="auto"/>
        </w:rPr>
      </w:pPr>
    </w:p>
    <w:p>
      <w:pPr>
        <w:ind w:left="1100" w:hanging="331"/>
        <w:spacing w:after="0" w:line="282" w:lineRule="auto"/>
        <w:tabs>
          <w:tab w:leader="none" w:pos="11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Seller is unable to sell the Pubco Ordinary Shares and returns the same to Pubco</w:t>
      </w:r>
      <w:r>
        <w:rPr>
          <w:rFonts w:ascii="Times New Roman" w:cs="Times New Roman" w:eastAsia="Times New Roman" w:hAnsi="Times New Roman"/>
          <w:sz w:val="18"/>
          <w:szCs w:val="18"/>
          <w:color w:val="auto"/>
        </w:rPr>
        <w:t>: In this case, Pubco will reverse the treasury share reserve and the related share capital and share premium amount proportionately.</w:t>
      </w:r>
    </w:p>
    <w:p>
      <w:pPr>
        <w:spacing w:after="0" w:line="53" w:lineRule="exact"/>
        <w:rPr>
          <w:rFonts w:ascii="Times New Roman" w:cs="Times New Roman" w:eastAsia="Times New Roman" w:hAnsi="Times New Roman"/>
          <w:sz w:val="18"/>
          <w:szCs w:val="18"/>
          <w:color w:val="auto"/>
        </w:rPr>
      </w:pPr>
    </w:p>
    <w:p>
      <w:pPr>
        <w:jc w:val="both"/>
        <w:ind w:left="1100" w:hanging="331"/>
        <w:spacing w:after="0" w:line="266" w:lineRule="auto"/>
        <w:tabs>
          <w:tab w:leader="none" w:pos="11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Seller sells the subject Pubco Ordinary Shares at a price within the range of $10 to $15</w:t>
      </w:r>
      <w:r>
        <w:rPr>
          <w:rFonts w:ascii="Times New Roman" w:cs="Times New Roman" w:eastAsia="Times New Roman" w:hAnsi="Times New Roman"/>
          <w:sz w:val="18"/>
          <w:szCs w:val="18"/>
          <w:color w:val="auto"/>
        </w:rPr>
        <w:t>: In this case, the Seller will transfer the proportionate prepaid redemption price to Pubco. Pubco will recognize cash and cash equivalents and reverse the treasury share reserve created on the date of Forward Purchase Agreement.</w:t>
      </w:r>
    </w:p>
    <w:p>
      <w:pPr>
        <w:spacing w:after="0" w:line="67" w:lineRule="exact"/>
        <w:rPr>
          <w:rFonts w:ascii="Times New Roman" w:cs="Times New Roman" w:eastAsia="Times New Roman" w:hAnsi="Times New Roman"/>
          <w:sz w:val="18"/>
          <w:szCs w:val="18"/>
          <w:color w:val="auto"/>
        </w:rPr>
      </w:pPr>
    </w:p>
    <w:p>
      <w:pPr>
        <w:jc w:val="both"/>
        <w:ind w:left="1100" w:hanging="331"/>
        <w:spacing w:after="0" w:line="256" w:lineRule="auto"/>
        <w:tabs>
          <w:tab w:leader="none" w:pos="11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Seller sells the subject Pubco Ordinary Shares at a price above $15:</w:t>
      </w:r>
      <w:r>
        <w:rPr>
          <w:rFonts w:ascii="Times New Roman" w:cs="Times New Roman" w:eastAsia="Times New Roman" w:hAnsi="Times New Roman"/>
          <w:sz w:val="18"/>
          <w:szCs w:val="18"/>
          <w:color w:val="auto"/>
        </w:rPr>
        <w:t xml:space="preserve"> In this case, Pubco will receive an amount equal to the prepaid redemption price per share plus the incremental amount over $15 per share. Therefore, Pubco will recognize the total consideration transferred from the Seller in cash and cash equivalents, reverse the treasury share reserve created on the date of the Forward Purchase Agreement and recognize the residual amount in share premium within equity as no gain or loss can be recognized on the buy-back of own shares under IAS 32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represents a preliminary view on the accounting of the Forward Purchase Agreement as the accounting treatment is still under evaluation.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(“Article 11”), as amended by the final rule, Release No. 33-10786 “Amendments to Financial Disclosures about Acquired and Disposed Businesses,” to depict the accounting for the transaction (“Transaction Accounting Adjustments”). The unaudited pro forma condensed combined financial information does not contemplate any impacts of any synergies for Pubco following the Business Combination. Management has concluded that no Autonomous Entity Adjustments pursuant to Article 11 are required, as the historical financial statements of AIR and CAEP include all activity for Pubco to operate an autonomous, or standalone entity, and hence, no such adjustments have been made in the unaudited pro forma condensed combined financial information. Furthermore, AIR has elected not to present Management’s Adjustments pursuant to Article 11 and will only be presenting Transaction Accounting Adjustments in the following unaudited pro forma condensed combined financial information.</w:t>
      </w:r>
    </w:p>
    <w:p>
      <w:pPr>
        <w:spacing w:after="0" w:line="18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adjustments in the unaudited pro forma condensed combined financial information have been identified and presented to provide relevant information necessary for an illustrative understanding of Pubco upon consummation of the Business Combination. Assumptions and estimates underlying the unaudited pro forma adjustments set forth in the unaudited pro forma condensed combined financial information are described in the accompanying notes.</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actual redemptions of 27,373,640 shares by Public Shareholders of Public Shares for an aggregate redemption payment of approximately $283.7 million based on the redemption value of $10.36 per share as of December 31, 2025 (inclusive of $0.15 per redeemed Public Share to be funded pursuant to the Sponsor Note).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the number of Pubco Ordinary Shares following the consummation of the Business Combination:</w:t>
      </w:r>
    </w:p>
    <w:p>
      <w:pPr>
        <w:spacing w:after="0" w:line="226" w:lineRule="exact"/>
        <w:rPr>
          <w:sz w:val="20"/>
          <w:szCs w:val="20"/>
          <w:color w:val="auto"/>
        </w:rPr>
      </w:pPr>
    </w:p>
    <w:tbl>
      <w:tblPr>
        <w:tblLayout w:type="fixed"/>
        <w:tblInd w:w="146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 and</w:t>
            </w:r>
          </w:p>
        </w:tc>
      </w:tr>
      <w:tr>
        <w:trPr>
          <w:trHeight w:val="165"/>
        </w:trPr>
        <w:tc>
          <w:tcPr>
            <w:tcW w:w="368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Voting %</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Public Shareholders</w:t>
            </w:r>
            <w:r>
              <w:rPr>
                <w:rFonts w:ascii="Times New Roman" w:cs="Times New Roman" w:eastAsia="Times New Roman" w:hAnsi="Times New Roman"/>
                <w:sz w:val="24"/>
                <w:szCs w:val="24"/>
                <w:color w:val="auto"/>
                <w:vertAlign w:val="superscript"/>
              </w:rPr>
              <w:t>(1)</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5,226,360</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4"/>
                <w:szCs w:val="24"/>
                <w:color w:val="auto"/>
                <w:vertAlign w:val="superscript"/>
              </w:rPr>
              <w:t>(2)</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4,182,009</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178"/>
        </w:trPr>
        <w:tc>
          <w:tcPr>
            <w:tcW w:w="3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AIR Shareholders (excluding the</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54"/>
        </w:trPr>
        <w:tc>
          <w:tcPr>
            <w:tcW w:w="3680" w:type="dxa"/>
            <w:vAlign w:val="bottom"/>
          </w:tcPr>
          <w:p>
            <w:pPr>
              <w:ind w:left="140"/>
              <w:spacing w:after="0" w:line="255" w:lineRule="exact"/>
              <w:rPr>
                <w:sz w:val="20"/>
                <w:szCs w:val="20"/>
                <w:color w:val="auto"/>
              </w:rPr>
            </w:pPr>
            <w:r>
              <w:rPr>
                <w:rFonts w:ascii="Times New Roman" w:cs="Times New Roman" w:eastAsia="Times New Roman" w:hAnsi="Times New Roman"/>
                <w:sz w:val="18"/>
                <w:szCs w:val="18"/>
                <w:color w:val="auto"/>
              </w:rPr>
              <w:t>Kingsway Holders)</w:t>
            </w:r>
            <w:r>
              <w:rPr>
                <w:rFonts w:ascii="Times New Roman" w:cs="Times New Roman" w:eastAsia="Times New Roman" w:hAnsi="Times New Roman"/>
                <w:sz w:val="24"/>
                <w:szCs w:val="24"/>
                <w:color w:val="auto"/>
                <w:vertAlign w:val="superscript"/>
              </w:rPr>
              <w:t>(3)(4)</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53,573,854</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3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The Kingsway Holders</w:t>
            </w:r>
            <w:r>
              <w:rPr>
                <w:rFonts w:ascii="Times New Roman" w:cs="Times New Roman" w:eastAsia="Times New Roman" w:hAnsi="Times New Roman"/>
                <w:sz w:val="24"/>
                <w:szCs w:val="24"/>
                <w:color w:val="auto"/>
                <w:vertAlign w:val="superscript"/>
              </w:rPr>
              <w:t>(5)</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97,404,379</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160,386,602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10712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155" w:lineRule="exact"/>
        <w:rPr>
          <w:sz w:val="20"/>
          <w:szCs w:val="20"/>
          <w:color w:val="auto"/>
        </w:rPr>
      </w:pPr>
    </w:p>
    <w:p>
      <w:pPr>
        <w:ind w:left="440" w:hanging="436"/>
        <w:spacing w:after="0" w:line="266" w:lineRule="auto"/>
        <w:tabs>
          <w:tab w:leader="none" w:pos="4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5,000,000 Pubco Ordinary Shares held by the Seller which were subject to the Forward Purchase Agreement as of the consummation of the Business Combination Agreement.</w:t>
      </w:r>
    </w:p>
    <w:p>
      <w:pPr>
        <w:jc w:val="both"/>
        <w:ind w:left="440" w:hanging="436"/>
        <w:spacing w:after="0" w:line="254" w:lineRule="auto"/>
        <w:tabs>
          <w:tab w:leader="none" w:pos="4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580,000 Pubco Ordinary Shares received in exchange for the CAEP Private Placement Shares, up to 3,500,000 Post-Combination Founder Shares after accounting for the surrender by the Sponsor and cancellation of 3,400,000 CAEP Founder Shares at Closing pursuant to the Sponsor Support Agreement and 102,009 Pubco Ordinary Shares received in exchange for 102,009 CAEP Class A Ordinary Shares issued to the Sponsor in repayment of the Sponsor Loan (based on the approximate outstanding balance of the Sponsor Loan as of the Business Combination date). 1,500,000 of the Post-Combination Founder Shares are subject to the Sponsor Earnout Conditions, as further described herein. To the extent some or all of such targets are not achieved, some or all of the Sponsor Earnout Shares will be forfeited by the Sponsor and cancelled for no consideration.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386080</wp:posOffset>
            </wp:positionV>
            <wp:extent cx="703770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66" w:right="1099" w:bottom="1440" w:gutter="0" w:footer="0" w:header="0"/>
        </w:sectPr>
      </w:pPr>
    </w:p>
    <w:bookmarkStart w:id="149" w:name="page150"/>
    <w:bookmarkEnd w:id="149"/>
    <w:p>
      <w:pPr>
        <w:ind w:left="436"/>
        <w:spacing w:after="0" w:line="282" w:lineRule="auto"/>
        <w:rPr>
          <w:sz w:val="20"/>
          <w:szCs w:val="20"/>
          <w:color w:val="auto"/>
        </w:rPr>
      </w:pPr>
      <w:r>
        <w:rPr>
          <w:rFonts w:ascii="Times New Roman" w:cs="Times New Roman" w:eastAsia="Times New Roman" w:hAnsi="Times New Roman"/>
          <w:sz w:val="18"/>
          <w:szCs w:val="18"/>
          <w:color w:val="auto"/>
        </w:rPr>
        <w:t>shares are reflected as being owned in each presentation because, as of the consummation of the Business Combination, they were issued and outstanding.</w:t>
      </w:r>
    </w:p>
    <w:p>
      <w:pPr>
        <w:spacing w:after="0" w:line="54" w:lineRule="exact"/>
        <w:rPr>
          <w:sz w:val="20"/>
          <w:szCs w:val="20"/>
          <w:color w:val="auto"/>
        </w:rPr>
      </w:pPr>
    </w:p>
    <w:p>
      <w:pPr>
        <w:jc w:val="both"/>
        <w:ind w:left="436" w:hanging="436"/>
        <w:spacing w:after="0" w:line="254" w:lineRule="auto"/>
        <w:tabs>
          <w:tab w:leader="none" w:pos="4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2,551,115 AIR Earnout Shares that are subject to AIR Earnout Conditions. The AIR Earnout Shares will be released upon the earlier occurrence of (i) the closing price of the Pubco Ordinary Shares being at or above $12.50 for 20 trading days over a consecutive 30-day period during the Earnout Period, and (ii) upon the occurrence of certain early release events, including a Pubco merger, consolidation or reorganization after the Closing in which the Pubco Ordinary Shares are converted or exchanged for the right to receive cash or registered publicly listed securities equal to or exceeding $12.50 per Pubco Ordinary Share. To the extent such targets are not achieved, or such early release event does not occur during the five (5) year period from the Jersey Closing, the AIR Earnout Shares will be forfeited by the AIR Shareholders and cancelled for no consideration. Such shares are reflected as being owned in each presentation because, as of the consummation of the Business Combination, they were issued and outstanding.</w:t>
      </w:r>
    </w:p>
    <w:p>
      <w:pPr>
        <w:spacing w:after="0" w:line="80" w:lineRule="exact"/>
        <w:rPr>
          <w:rFonts w:ascii="Times New Roman" w:cs="Times New Roman" w:eastAsia="Times New Roman" w:hAnsi="Times New Roman"/>
          <w:sz w:val="18"/>
          <w:szCs w:val="18"/>
          <w:color w:val="auto"/>
        </w:rPr>
      </w:pPr>
    </w:p>
    <w:p>
      <w:pPr>
        <w:ind w:left="436" w:hanging="436"/>
        <w:spacing w:after="0"/>
        <w:tabs>
          <w:tab w:leader="none" w:pos="4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Pubco Ordinary Shares issuable on exercise or settlement of the Assumed Conditional Awards and the Incentive Plan.</w:t>
      </w:r>
    </w:p>
    <w:p>
      <w:pPr>
        <w:spacing w:after="0" w:line="117" w:lineRule="exact"/>
        <w:rPr>
          <w:rFonts w:ascii="Times New Roman" w:cs="Times New Roman" w:eastAsia="Times New Roman" w:hAnsi="Times New Roman"/>
          <w:sz w:val="18"/>
          <w:szCs w:val="18"/>
          <w:color w:val="auto"/>
        </w:rPr>
      </w:pPr>
    </w:p>
    <w:p>
      <w:pPr>
        <w:jc w:val="both"/>
        <w:ind w:left="436" w:hanging="436"/>
        <w:spacing w:after="0" w:line="254" w:lineRule="auto"/>
        <w:tabs>
          <w:tab w:leader="none" w:pos="43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4,638,302 AIR Earnout Shares that are subject to AIR Earnout Conditions. The AIR Earnout Shares will be released upon the earlier occurrence of (i) the closing price of the Pubco Ordinary Shares being at or above $12.50 for 20 trading days over a consecutive 30-day period during the Earnout Period, and (ii) upon the occurrence of certain early release events, including a Pubco merger, consolidation or reorganization after the Closing in which the Pubco Ordinary Shares are converted or exchanged for the right to receive cash or registered publicly listed securities equal to or exceeding $12.50 per Pubco Ordinary Share. To the extent such targets are not achieved, or such early release event does not occur during the five (5) year period from the Jersey Closing, the AIR Earnout Shares will be forfeited by the AIR Shareholders and cancelled for no consideration. Such shares are reflected as being owned in each presentation because, as of the consummation of the Business Combination, they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375920</wp:posOffset>
            </wp:positionV>
            <wp:extent cx="703770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6"/>
          </w:cols>
          <w:pgMar w:left="1084" w:top="891" w:right="109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 as of December 31,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CAEP (U.S.</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Policy and</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4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Pubco (IFRS</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AIR (IFRS</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24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(Except share and par value</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12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data)</w:t>
            </w:r>
          </w:p>
        </w:tc>
        <w:tc>
          <w:tcPr>
            <w:tcW w:w="14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28,410</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28,410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11,663</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11,663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371,277</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371,277</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Investments in joint ventures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2,255</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41,071</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41,071</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Trade and other receivables, net</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293</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A</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294</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current portion</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w:t>
            </w:r>
            <w:r>
              <w:rPr>
                <w:rFonts w:ascii="Times New Roman" w:cs="Times New Roman" w:eastAsia="Times New Roman" w:hAnsi="Times New Roman"/>
                <w:sz w:val="14"/>
                <w:szCs w:val="14"/>
                <w:b w:val="1"/>
                <w:bCs w:val="1"/>
                <w:color w:val="auto"/>
              </w:rPr>
              <w:t>M</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Available-for-sale debt securities</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held in Trust Account, at fair</w:t>
            </w:r>
          </w:p>
        </w:tc>
        <w:tc>
          <w:tcPr>
            <w:tcW w:w="140" w:type="dxa"/>
            <w:vAlign w:val="bottom"/>
          </w:tcPr>
          <w:p>
            <w:pPr>
              <w:spacing w:after="0"/>
              <w:rPr>
                <w:sz w:val="12"/>
                <w:szCs w:val="12"/>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281,884</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(281,884)</w:t>
            </w:r>
            <w:r>
              <w:rPr>
                <w:rFonts w:ascii="Times New Roman" w:cs="Times New Roman" w:eastAsia="Times New Roman" w:hAnsi="Times New Roman"/>
                <w:sz w:val="14"/>
                <w:szCs w:val="14"/>
                <w:b w:val="1"/>
                <w:bCs w:val="1"/>
                <w:color w:val="auto"/>
              </w:rPr>
              <w:t>A</w:t>
            </w:r>
          </w:p>
        </w:tc>
        <w:tc>
          <w:tcPr>
            <w:tcW w:w="184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454,969</w:t>
            </w: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281,955</w:t>
            </w: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(281,954)</w:t>
            </w:r>
          </w:p>
        </w:tc>
        <w:tc>
          <w:tcPr>
            <w:tcW w:w="11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454,970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55,331</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55,331</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93,160</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93,160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(145)</w:t>
            </w:r>
            <w:r>
              <w:rPr>
                <w:rFonts w:ascii="Times New Roman" w:cs="Times New Roman" w:eastAsia="Times New Roman" w:hAnsi="Times New Roman"/>
                <w:sz w:val="14"/>
                <w:szCs w:val="14"/>
                <w:b w:val="1"/>
                <w:bCs w:val="1"/>
                <w:color w:val="auto"/>
              </w:rPr>
              <w:t>M</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Advance tax</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119,456</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281,884</w:t>
            </w:r>
            <w:r>
              <w:rPr>
                <w:rFonts w:ascii="Times New Roman" w:cs="Times New Roman" w:eastAsia="Times New Roman" w:hAnsi="Times New Roman"/>
                <w:sz w:val="14"/>
                <w:szCs w:val="14"/>
                <w:b w:val="1"/>
                <w:bCs w:val="1"/>
                <w:color w:val="auto"/>
              </w:rPr>
              <w:t>A</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63,696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(14,221)</w:t>
            </w:r>
            <w:r>
              <w:rPr>
                <w:rFonts w:ascii="Times New Roman" w:cs="Times New Roman" w:eastAsia="Times New Roman" w:hAnsi="Times New Roman"/>
                <w:sz w:val="14"/>
                <w:szCs w:val="14"/>
                <w:b w:val="1"/>
                <w:bCs w:val="1"/>
                <w:color w:val="auto"/>
              </w:rPr>
              <w:t>B</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(36,737)</w:t>
            </w:r>
            <w:r>
              <w:rPr>
                <w:rFonts w:ascii="Times New Roman" w:cs="Times New Roman" w:eastAsia="Times New Roman" w:hAnsi="Times New Roman"/>
                <w:sz w:val="14"/>
                <w:szCs w:val="14"/>
                <w:b w:val="1"/>
                <w:bCs w:val="1"/>
                <w:color w:val="auto"/>
              </w:rPr>
              <w:t>I</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(234,699)</w:t>
            </w:r>
            <w:r>
              <w:rPr>
                <w:rFonts w:ascii="Times New Roman" w:cs="Times New Roman" w:eastAsia="Times New Roman" w:hAnsi="Times New Roman"/>
                <w:sz w:val="14"/>
                <w:szCs w:val="14"/>
                <w:b w:val="1"/>
                <w:bCs w:val="1"/>
                <w:color w:val="auto"/>
              </w:rPr>
              <w:t>J</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4"/>
                <w:szCs w:val="14"/>
                <w:b w:val="1"/>
                <w:bCs w:val="1"/>
                <w:color w:val="auto"/>
              </w:rPr>
              <w:t>G</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K</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r>
              <w:rPr>
                <w:rFonts w:ascii="Times New Roman" w:cs="Times New Roman" w:eastAsia="Times New Roman" w:hAnsi="Times New Roman"/>
                <w:sz w:val="14"/>
                <w:szCs w:val="14"/>
                <w:b w:val="1"/>
                <w:bCs w:val="1"/>
                <w:color w:val="auto"/>
              </w:rPr>
              <w:t>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(52,444)</w:t>
            </w:r>
            <w:r>
              <w:rPr>
                <w:rFonts w:ascii="Times New Roman" w:cs="Times New Roman" w:eastAsia="Times New Roman" w:hAnsi="Times New Roman"/>
                <w:sz w:val="14"/>
                <w:szCs w:val="14"/>
                <w:b w:val="1"/>
                <w:bCs w:val="1"/>
                <w:color w:val="auto"/>
              </w:rPr>
              <w:t>O</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268,221</w:t>
            </w: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170</w:t>
            </w: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(55,930)</w:t>
            </w:r>
          </w:p>
        </w:tc>
        <w:tc>
          <w:tcPr>
            <w:tcW w:w="11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212,461</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3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723,190</w:t>
            </w:r>
          </w:p>
        </w:tc>
        <w:tc>
          <w:tcPr>
            <w:tcW w:w="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282,125</w:t>
            </w:r>
          </w:p>
        </w:tc>
        <w:tc>
          <w:tcPr>
            <w:tcW w:w="1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(337,884)</w:t>
            </w:r>
          </w:p>
        </w:tc>
        <w:tc>
          <w:tcPr>
            <w:tcW w:w="1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667,431</w:t>
            </w:r>
          </w:p>
        </w:tc>
        <w:tc>
          <w:tcPr>
            <w:tcW w:w="100" w:type="dxa"/>
            <w:vAlign w:val="bottom"/>
            <w:tcBorders>
              <w:bottom w:val="single" w:sz="8" w:color="CFF0FC"/>
            </w:tcBorders>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interest-bearing loans and</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357,679</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357,679</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9,935</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9,935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benefits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6,542</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6,542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375,808</w:t>
            </w:r>
          </w:p>
        </w:tc>
        <w:tc>
          <w:tcPr>
            <w:tcW w:w="12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375,808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Other interest-bearing loans and</w:t>
            </w:r>
          </w:p>
        </w:tc>
        <w:tc>
          <w:tcPr>
            <w:tcW w:w="14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29,852</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29,852</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3,348</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3,348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144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99,121</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(4,598)</w:t>
            </w:r>
            <w:r>
              <w:rPr>
                <w:rFonts w:ascii="Times New Roman" w:cs="Times New Roman" w:eastAsia="Times New Roman" w:hAnsi="Times New Roman"/>
                <w:sz w:val="14"/>
                <w:szCs w:val="14"/>
                <w:b w:val="1"/>
                <w:bCs w:val="1"/>
                <w:color w:val="auto"/>
              </w:rPr>
              <w:t>B</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94,543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r>
              <w:rPr>
                <w:rFonts w:ascii="Times New Roman" w:cs="Times New Roman" w:eastAsia="Times New Roman" w:hAnsi="Times New Roman"/>
                <w:sz w:val="14"/>
                <w:szCs w:val="14"/>
                <w:b w:val="1"/>
                <w:bCs w:val="1"/>
                <w:color w:val="auto"/>
              </w:rPr>
              <w:t>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(1,678)</w:t>
            </w:r>
            <w:r>
              <w:rPr>
                <w:rFonts w:ascii="Times New Roman" w:cs="Times New Roman" w:eastAsia="Times New Roman" w:hAnsi="Times New Roman"/>
                <w:sz w:val="14"/>
                <w:szCs w:val="14"/>
                <w:b w:val="1"/>
                <w:bCs w:val="1"/>
                <w:color w:val="auto"/>
              </w:rPr>
              <w:t>I</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payable</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benefits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Payables relating to acquisitions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 payable - related party</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(312)</w:t>
            </w:r>
            <w:r>
              <w:rPr>
                <w:rFonts w:ascii="Times New Roman" w:cs="Times New Roman" w:eastAsia="Times New Roman" w:hAnsi="Times New Roman"/>
                <w:sz w:val="14"/>
                <w:szCs w:val="14"/>
                <w:b w:val="1"/>
                <w:bCs w:val="1"/>
                <w:color w:val="auto"/>
              </w:rPr>
              <w:t>K</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CAEP Class A ordinary shares</w:t>
            </w:r>
          </w:p>
        </w:tc>
        <w:tc>
          <w:tcPr>
            <w:tcW w:w="140" w:type="dxa"/>
            <w:vAlign w:val="bottom"/>
          </w:tcPr>
          <w:p>
            <w:pPr>
              <w:spacing w:after="0"/>
              <w:rPr>
                <w:sz w:val="10"/>
                <w:szCs w:val="10"/>
                <w:color w:val="auto"/>
              </w:rPr>
            </w:pPr>
          </w:p>
        </w:tc>
        <w:tc>
          <w:tcPr>
            <w:tcW w:w="1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283,452</w:t>
            </w:r>
          </w:p>
        </w:tc>
        <w:tc>
          <w:tcPr>
            <w:tcW w:w="12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(283,452)</w:t>
            </w:r>
            <w:r>
              <w:rPr>
                <w:rFonts w:ascii="Times New Roman" w:cs="Times New Roman" w:eastAsia="Times New Roman" w:hAnsi="Times New Roman"/>
                <w:sz w:val="14"/>
                <w:szCs w:val="14"/>
                <w:b w:val="1"/>
                <w:bCs w:val="1"/>
                <w:color w:val="auto"/>
              </w:rPr>
              <w:t>E</w:t>
            </w:r>
          </w:p>
        </w:tc>
        <w:tc>
          <w:tcPr>
            <w:tcW w:w="184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34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subject to possible redemptions</w:t>
            </w: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w:t>
            </w:r>
          </w:p>
        </w:tc>
        <w:tc>
          <w:tcPr>
            <w:tcW w:w="11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138,012</w:t>
            </w:r>
          </w:p>
        </w:tc>
        <w:tc>
          <w:tcPr>
            <w:tcW w:w="12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2,058</w:t>
            </w:r>
          </w:p>
        </w:tc>
        <w:tc>
          <w:tcPr>
            <w:tcW w:w="11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283,452</w:t>
            </w:r>
          </w:p>
        </w:tc>
        <w:tc>
          <w:tcPr>
            <w:tcW w:w="12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(290,108)</w:t>
            </w:r>
          </w:p>
        </w:tc>
        <w:tc>
          <w:tcPr>
            <w:tcW w:w="118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133,434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w:t>
            </w: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513,820</w:t>
            </w: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2,058</w:t>
            </w:r>
          </w:p>
        </w:tc>
        <w:tc>
          <w:tcPr>
            <w:tcW w:w="11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283,452</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(290,108)</w:t>
            </w:r>
          </w:p>
        </w:tc>
        <w:tc>
          <w:tcPr>
            <w:tcW w:w="11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509,242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3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4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209,370</w:t>
            </w:r>
          </w:p>
        </w:tc>
        <w:tc>
          <w:tcPr>
            <w:tcW w:w="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280,067</w:t>
            </w:r>
          </w:p>
        </w:tc>
        <w:tc>
          <w:tcPr>
            <w:tcW w:w="1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(283,452)</w:t>
            </w:r>
          </w:p>
        </w:tc>
        <w:tc>
          <w:tcPr>
            <w:tcW w:w="1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(47,776)</w:t>
            </w:r>
          </w:p>
        </w:tc>
        <w:tc>
          <w:tcPr>
            <w:tcW w:w="1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158,189</w:t>
            </w:r>
          </w:p>
        </w:tc>
        <w:tc>
          <w:tcPr>
            <w:tcW w:w="100" w:type="dxa"/>
            <w:vAlign w:val="bottom"/>
            <w:tcBorders>
              <w:bottom w:val="single" w:sz="8" w:color="CFF0FC"/>
            </w:tcBorders>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1"/>
                <w:szCs w:val="21"/>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Commitments and</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contingencies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CAEP Class A ordinary shares</w:t>
            </w:r>
          </w:p>
        </w:tc>
        <w:tc>
          <w:tcPr>
            <w:tcW w:w="14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286,024</w:t>
            </w:r>
          </w:p>
        </w:tc>
        <w:tc>
          <w:tcPr>
            <w:tcW w:w="11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(286,024)</w:t>
            </w: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140" w:type="dxa"/>
            <w:vAlign w:val="bottom"/>
            <w:shd w:val="clear" w:color="auto" w:fill="CFF0FC"/>
          </w:tcPr>
          <w:p>
            <w:pPr>
              <w:spacing w:after="0"/>
              <w:rPr>
                <w:sz w:val="14"/>
                <w:szCs w:val="14"/>
                <w:color w:val="auto"/>
              </w:rPr>
            </w:pPr>
          </w:p>
        </w:tc>
        <w:tc>
          <w:tcPr>
            <w:tcW w:w="130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0"/>
        </w:trPr>
        <w:tc>
          <w:tcPr>
            <w:tcW w:w="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-5425440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-5425440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-5425440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-5425440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-5425440</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-5425440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-4097020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-4097020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-4097020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-4097020</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-4097020</wp:posOffset>
            </wp:positionV>
            <wp:extent cx="1200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-4097020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-3891280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-3874135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-3891280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-3874135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-3891280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-3874135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-3891280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-3874135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-3891280</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-3874135</wp:posOffset>
            </wp:positionV>
            <wp:extent cx="120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-3891280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-3874135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-1405255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-1405255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-1405255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-1405255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-1405255</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-1405255</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-1105535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-1088390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-1105535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-1088390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-1105535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-1088390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-1105535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-1088390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-1105535</wp:posOffset>
            </wp:positionV>
            <wp:extent cx="1200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-1088390</wp:posOffset>
            </wp:positionV>
            <wp:extent cx="120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-1105535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-1088390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846" w:right="4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CAEP (U.S.</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Policy and</w:t>
            </w: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84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Pubco (IFRS</w:t>
            </w: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AIR (IFRS</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24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(Except share and par value</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12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8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data)</w:t>
            </w:r>
          </w:p>
        </w:tc>
        <w:tc>
          <w:tcPr>
            <w:tcW w:w="14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Capital and reserves</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 capital</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968,768</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F</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(968,753)</w:t>
            </w:r>
            <w:r>
              <w:rPr>
                <w:rFonts w:ascii="Times New Roman" w:cs="Times New Roman" w:eastAsia="Times New Roman" w:hAnsi="Times New Roman"/>
                <w:sz w:val="14"/>
                <w:szCs w:val="14"/>
                <w:b w:val="1"/>
                <w:bCs w:val="1"/>
                <w:color w:val="auto"/>
              </w:rPr>
              <w:t>G</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I</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J</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b w:val="1"/>
                <w:bCs w:val="1"/>
                <w:color w:val="auto"/>
              </w:rPr>
              <w:t>O</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premium</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39,834</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283,449</w:t>
            </w:r>
            <w:r>
              <w:rPr>
                <w:rFonts w:ascii="Times New Roman" w:cs="Times New Roman" w:eastAsia="Times New Roman" w:hAnsi="Times New Roman"/>
                <w:sz w:val="14"/>
                <w:szCs w:val="14"/>
                <w:b w:val="1"/>
                <w:bCs w:val="1"/>
                <w:color w:val="auto"/>
              </w:rPr>
              <w:t>E</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1,101,509</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F</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971,780</w:t>
            </w:r>
            <w:r>
              <w:rPr>
                <w:rFonts w:ascii="Times New Roman" w:cs="Times New Roman" w:eastAsia="Times New Roman" w:hAnsi="Times New Roman"/>
                <w:sz w:val="14"/>
                <w:szCs w:val="14"/>
                <w:b w:val="1"/>
                <w:bCs w:val="1"/>
                <w:color w:val="auto"/>
              </w:rPr>
              <w:t>G</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(3,288)</w:t>
            </w:r>
            <w:r>
              <w:rPr>
                <w:rFonts w:ascii="Times New Roman" w:cs="Times New Roman" w:eastAsia="Times New Roman" w:hAnsi="Times New Roman"/>
                <w:sz w:val="14"/>
                <w:szCs w:val="14"/>
                <w:b w:val="1"/>
                <w:bCs w:val="1"/>
                <w:color w:val="auto"/>
              </w:rPr>
              <w:t>H</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44,431</w:t>
            </w:r>
            <w:r>
              <w:rPr>
                <w:rFonts w:ascii="Times New Roman" w:cs="Times New Roman" w:eastAsia="Times New Roman" w:hAnsi="Times New Roman"/>
                <w:sz w:val="14"/>
                <w:szCs w:val="14"/>
                <w:b w:val="1"/>
                <w:bCs w:val="1"/>
                <w:color w:val="auto"/>
              </w:rPr>
              <w:t>I</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(234,697)</w:t>
            </w:r>
            <w:r>
              <w:rPr>
                <w:rFonts w:ascii="Times New Roman" w:cs="Times New Roman" w:eastAsia="Times New Roman" w:hAnsi="Times New Roman"/>
                <w:sz w:val="14"/>
                <w:szCs w:val="14"/>
                <w:b w:val="1"/>
                <w:bCs w:val="1"/>
                <w:color w:val="auto"/>
              </w:rPr>
              <w:t>J</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Merger reserve</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(1,100,361)</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(1,100,361)</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 hedge reserve</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Translation reserve</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9,194</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9,194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reserve</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31,101</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(5,377)</w:t>
            </w:r>
            <w:r>
              <w:rPr>
                <w:rFonts w:ascii="Times New Roman" w:cs="Times New Roman" w:eastAsia="Times New Roman" w:hAnsi="Times New Roman"/>
                <w:sz w:val="14"/>
                <w:szCs w:val="14"/>
                <w:b w:val="1"/>
                <w:bCs w:val="1"/>
                <w:color w:val="auto"/>
              </w:rPr>
              <w:t>G</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506</w:t>
            </w:r>
            <w:r>
              <w:rPr>
                <w:rFonts w:ascii="Times New Roman" w:cs="Times New Roman" w:eastAsia="Times New Roman" w:hAnsi="Times New Roman"/>
                <w:sz w:val="14"/>
                <w:szCs w:val="14"/>
                <w:b w:val="1"/>
                <w:bCs w:val="1"/>
                <w:color w:val="auto"/>
              </w:rPr>
              <w:t>L</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shares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(52,444)</w:t>
            </w:r>
            <w:r>
              <w:rPr>
                <w:rFonts w:ascii="Times New Roman" w:cs="Times New Roman" w:eastAsia="Times New Roman" w:hAnsi="Times New Roman"/>
                <w:sz w:val="14"/>
                <w:szCs w:val="14"/>
                <w:b w:val="1"/>
                <w:bCs w:val="1"/>
                <w:color w:val="auto"/>
              </w:rPr>
              <w:t>O</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(52.444)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440" w:type="dxa"/>
            <w:vAlign w:val="bottom"/>
            <w:gridSpan w:val="3"/>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262,448</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(9,623)</w:t>
            </w:r>
            <w:r>
              <w:rPr>
                <w:rFonts w:ascii="Times New Roman" w:cs="Times New Roman" w:eastAsia="Times New Roman" w:hAnsi="Times New Roman"/>
                <w:sz w:val="14"/>
                <w:szCs w:val="14"/>
                <w:b w:val="1"/>
                <w:bCs w:val="1"/>
                <w:color w:val="auto"/>
              </w:rPr>
              <w:t>B</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175,659</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2,850</w:t>
            </w:r>
            <w:r>
              <w:rPr>
                <w:rFonts w:ascii="Times New Roman" w:cs="Times New Roman" w:eastAsia="Times New Roman" w:hAnsi="Times New Roman"/>
                <w:sz w:val="14"/>
                <w:szCs w:val="14"/>
                <w:b w:val="1"/>
                <w:bCs w:val="1"/>
                <w:color w:val="auto"/>
              </w:rPr>
              <w:t>G</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(79,500)</w:t>
            </w:r>
            <w:r>
              <w:rPr>
                <w:rFonts w:ascii="Times New Roman" w:cs="Times New Roman" w:eastAsia="Times New Roman" w:hAnsi="Times New Roman"/>
                <w:sz w:val="14"/>
                <w:szCs w:val="14"/>
                <w:b w:val="1"/>
                <w:bCs w:val="1"/>
                <w:color w:val="auto"/>
              </w:rPr>
              <w:t>I</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(506)</w:t>
            </w:r>
            <w:r>
              <w:rPr>
                <w:rFonts w:ascii="Times New Roman" w:cs="Times New Roman" w:eastAsia="Times New Roman" w:hAnsi="Times New Roman"/>
                <w:sz w:val="14"/>
                <w:szCs w:val="14"/>
                <w:b w:val="1"/>
                <w:bCs w:val="1"/>
                <w:color w:val="auto"/>
              </w:rPr>
              <w:t>L</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CAEP Class A ordinary shares</w:t>
            </w:r>
          </w:p>
        </w:tc>
        <w:tc>
          <w:tcPr>
            <w:tcW w:w="14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D</w:t>
            </w:r>
          </w:p>
        </w:tc>
        <w:tc>
          <w:tcPr>
            <w:tcW w:w="11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K</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4"/>
                <w:szCs w:val="14"/>
                <w:b w:val="1"/>
                <w:bCs w:val="1"/>
                <w:color w:val="auto"/>
              </w:rPr>
              <w:t>E</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b w:val="1"/>
                <w:bCs w:val="1"/>
                <w:color w:val="auto"/>
              </w:rPr>
              <w:t>F</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14"/>
                <w:szCs w:val="14"/>
                <w:b w:val="1"/>
                <w:bCs w:val="1"/>
                <w:color w:val="auto"/>
              </w:rPr>
              <w:t>J</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CAEP Class B ordinary shares</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b w:val="1"/>
                <w:bCs w:val="1"/>
                <w:color w:val="auto"/>
              </w:rPr>
              <w:t>C</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b w:val="1"/>
                <w:bCs w:val="1"/>
                <w:color w:val="auto"/>
              </w:rPr>
              <w:t>D</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(1,020)</w:t>
            </w:r>
            <w:r>
              <w:rPr>
                <w:rFonts w:ascii="Times New Roman" w:cs="Times New Roman" w:eastAsia="Times New Roman" w:hAnsi="Times New Roman"/>
                <w:sz w:val="14"/>
                <w:szCs w:val="14"/>
                <w:b w:val="1"/>
                <w:bCs w:val="1"/>
                <w:color w:val="auto"/>
              </w:rPr>
              <w:t>H</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1,020</w:t>
            </w:r>
            <w:r>
              <w:rPr>
                <w:rFonts w:ascii="Times New Roman" w:cs="Times New Roman" w:eastAsia="Times New Roman" w:hAnsi="Times New Roman"/>
                <w:sz w:val="14"/>
                <w:szCs w:val="14"/>
                <w:b w:val="1"/>
                <w:bCs w:val="1"/>
                <w:color w:val="auto"/>
              </w:rPr>
              <w:t>K</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(5,973)</w:t>
            </w:r>
          </w:p>
        </w:tc>
        <w:tc>
          <w:tcPr>
            <w:tcW w:w="11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12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A</w:t>
            </w: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4"/>
                <w:szCs w:val="14"/>
                <w:b w:val="1"/>
                <w:bCs w:val="1"/>
                <w:color w:val="auto"/>
              </w:rPr>
              <w:t>C</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4,308</w:t>
            </w:r>
            <w:r>
              <w:rPr>
                <w:rFonts w:ascii="Times New Roman" w:cs="Times New Roman" w:eastAsia="Times New Roman" w:hAnsi="Times New Roman"/>
                <w:sz w:val="14"/>
                <w:szCs w:val="14"/>
                <w:b w:val="1"/>
                <w:bCs w:val="1"/>
                <w:color w:val="auto"/>
              </w:rPr>
              <w:t>H</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(708)</w:t>
            </w:r>
            <w:r>
              <w:rPr>
                <w:rFonts w:ascii="Times New Roman" w:cs="Times New Roman" w:eastAsia="Times New Roman" w:hAnsi="Times New Roman"/>
                <w:sz w:val="14"/>
                <w:szCs w:val="14"/>
                <w:b w:val="1"/>
                <w:bCs w:val="1"/>
                <w:color w:val="auto"/>
              </w:rPr>
              <w:t>K</w:t>
            </w: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w:t>
            </w:r>
            <w:r>
              <w:rPr>
                <w:rFonts w:ascii="Times New Roman" w:cs="Times New Roman" w:eastAsia="Times New Roman" w:hAnsi="Times New Roman"/>
                <w:sz w:val="14"/>
                <w:szCs w:val="14"/>
                <w:b w:val="1"/>
                <w:bCs w:val="1"/>
                <w:color w:val="auto"/>
              </w:rPr>
              <w:t>M</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3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1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A</w:t>
            </w:r>
          </w:p>
        </w:tc>
        <w:tc>
          <w:tcPr>
            <w:tcW w:w="11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34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comprehensive income</w:t>
            </w:r>
          </w:p>
        </w:tc>
        <w:tc>
          <w:tcPr>
            <w:tcW w:w="140" w:type="dxa"/>
            <w:vAlign w:val="bottom"/>
            <w:shd w:val="clear" w:color="auto" w:fill="CFF0FC"/>
          </w:tcPr>
          <w:p>
            <w:pPr>
              <w:spacing w:after="0"/>
              <w:rPr>
                <w:sz w:val="13"/>
                <w:szCs w:val="13"/>
                <w:color w:val="auto"/>
              </w:rPr>
            </w:pPr>
          </w:p>
        </w:tc>
        <w:tc>
          <w:tcPr>
            <w:tcW w:w="1300" w:type="dxa"/>
            <w:vAlign w:val="bottom"/>
            <w:gridSpan w:val="2"/>
            <w:vMerge w:val="continue"/>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160" w:type="dxa"/>
            <w:vAlign w:val="bottom"/>
            <w:gridSpan w:val="2"/>
            <w:vMerge w:val="continue"/>
            <w:shd w:val="clear" w:color="auto" w:fill="CFF0FC"/>
          </w:tcPr>
          <w:p>
            <w:pPr>
              <w:spacing w:after="0"/>
              <w:rPr>
                <w:sz w:val="13"/>
                <w:szCs w:val="13"/>
                <w:color w:val="auto"/>
              </w:rPr>
            </w:pPr>
          </w:p>
        </w:tc>
        <w:tc>
          <w:tcPr>
            <w:tcW w:w="1240" w:type="dxa"/>
            <w:vAlign w:val="bottom"/>
            <w:gridSpan w:val="2"/>
            <w:vMerge w:val="continue"/>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34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equity</w:t>
            </w:r>
          </w:p>
        </w:tc>
        <w:tc>
          <w:tcPr>
            <w:tcW w:w="140" w:type="dxa"/>
            <w:vAlign w:val="bottom"/>
            <w:tcBorders>
              <w:top w:val="single" w:sz="8" w:color="CFF0FC"/>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w:t>
            </w:r>
          </w:p>
        </w:tc>
        <w:tc>
          <w:tcPr>
            <w:tcW w:w="120" w:type="dxa"/>
            <w:vAlign w:val="bottom"/>
            <w:tcBorders>
              <w:top w:val="single" w:sz="8" w:color="CFF0FC"/>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209,370</w:t>
            </w:r>
          </w:p>
        </w:tc>
        <w:tc>
          <w:tcPr>
            <w:tcW w:w="80" w:type="dxa"/>
            <w:vAlign w:val="bottom"/>
            <w:tcBorders>
              <w:top w:val="single" w:sz="8" w:color="CFF0FC"/>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280,067</w:t>
            </w:r>
          </w:p>
        </w:tc>
        <w:tc>
          <w:tcPr>
            <w:tcW w:w="120" w:type="dxa"/>
            <w:vAlign w:val="bottom"/>
            <w:tcBorders>
              <w:top w:val="single" w:sz="8" w:color="CFF0FC"/>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(283,452)</w:t>
            </w:r>
          </w:p>
        </w:tc>
        <w:tc>
          <w:tcPr>
            <w:tcW w:w="100" w:type="dxa"/>
            <w:vAlign w:val="bottom"/>
            <w:tcBorders>
              <w:top w:val="single" w:sz="8" w:color="CFF0FC"/>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(47,776)</w:t>
            </w:r>
          </w:p>
        </w:tc>
        <w:tc>
          <w:tcPr>
            <w:tcW w:w="180" w:type="dxa"/>
            <w:vAlign w:val="bottom"/>
            <w:tcBorders>
              <w:top w:val="single" w:sz="8" w:color="CFF0FC"/>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158,189</w:t>
            </w:r>
          </w:p>
        </w:tc>
        <w:tc>
          <w:tcPr>
            <w:tcW w:w="100" w:type="dxa"/>
            <w:vAlign w:val="bottom"/>
            <w:tcBorders>
              <w:top w:val="single" w:sz="8" w:color="CFF0FC"/>
              <w:bottom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2744470</wp:posOffset>
            </wp:positionH>
            <wp:positionV relativeFrom="paragraph">
              <wp:posOffset>-548005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3498850</wp:posOffset>
            </wp:positionH>
            <wp:positionV relativeFrom="paragraph">
              <wp:posOffset>-548005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4244975</wp:posOffset>
            </wp:positionH>
            <wp:positionV relativeFrom="paragraph">
              <wp:posOffset>-548005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4990465</wp:posOffset>
            </wp:positionH>
            <wp:positionV relativeFrom="paragraph">
              <wp:posOffset>-548005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-548005</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-548005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40"/>
          </w:cols>
          <w:pgMar w:left="420" w:top="831" w:right="4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Comprehensive Income for the Year Ended December 31, 2025</w:t>
      </w:r>
      <w:r>
        <w:rPr>
          <w:rFonts w:ascii="Times New Roman" w:cs="Times New Roman" w:eastAsia="Times New Roman" w:hAnsi="Times New Roman"/>
          <w:sz w:val="24"/>
          <w:szCs w:val="24"/>
          <w:b w:val="1"/>
          <w:bCs w:val="1"/>
          <w:color w:val="auto"/>
          <w:vertAlign w:val="superscript"/>
        </w:rPr>
        <w:t>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IFRS</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CAEP (U.S.</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Policy and</w:t>
            </w: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780" w:type="dxa"/>
            <w:vAlign w:val="bottom"/>
            <w:gridSpan w:val="3"/>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Pubco (IFRS</w:t>
            </w: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AIR (IFRS</w:t>
            </w:r>
          </w:p>
        </w:tc>
        <w:tc>
          <w:tcPr>
            <w:tcW w:w="1120" w:type="dxa"/>
            <w:vAlign w:val="bottom"/>
            <w:gridSpan w:val="2"/>
            <w:vMerge w:val="continue"/>
          </w:tcPr>
          <w:p>
            <w:pPr>
              <w:spacing w:after="0"/>
              <w:rPr>
                <w:sz w:val="12"/>
                <w:szCs w:val="12"/>
                <w:color w:val="auto"/>
              </w:rPr>
            </w:pPr>
          </w:p>
        </w:tc>
        <w:tc>
          <w:tcPr>
            <w:tcW w:w="12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1380" w:type="dxa"/>
            <w:vAlign w:val="bottom"/>
            <w:gridSpan w:val="2"/>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(Except share and per share</w:t>
            </w:r>
          </w:p>
        </w:tc>
        <w:tc>
          <w:tcPr>
            <w:tcW w:w="14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7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data)</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399,737</w:t>
            </w: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399,737</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(175,401)</w:t>
            </w: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(175,401)</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224,336</w:t>
            </w:r>
          </w:p>
        </w:tc>
        <w:tc>
          <w:tcPr>
            <w:tcW w:w="11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224,336</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Distribution expenses</w:t>
            </w:r>
          </w:p>
        </w:tc>
        <w:tc>
          <w:tcPr>
            <w:tcW w:w="140" w:type="dxa"/>
            <w:vAlign w:val="bottom"/>
          </w:tcPr>
          <w:p>
            <w:pPr>
              <w:spacing w:after="0"/>
              <w:rPr>
                <w:sz w:val="24"/>
                <w:szCs w:val="24"/>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(46,915)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(46,915)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8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(93,933)</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(2,202)</w:t>
            </w:r>
          </w:p>
        </w:tc>
        <w:tc>
          <w:tcPr>
            <w:tcW w:w="13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(9,623)</w:t>
            </w:r>
            <w:r>
              <w:rPr>
                <w:rFonts w:ascii="Times New Roman" w:cs="Times New Roman" w:eastAsia="Times New Roman" w:hAnsi="Times New Roman"/>
                <w:sz w:val="14"/>
                <w:szCs w:val="14"/>
                <w:b w:val="1"/>
                <w:bCs w:val="1"/>
                <w:color w:val="auto"/>
              </w:rPr>
              <w:t>AA</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(186,465)</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expenses</w:t>
            </w:r>
          </w:p>
        </w:tc>
        <w:tc>
          <w:tcPr>
            <w:tcW w:w="1480" w:type="dxa"/>
            <w:vAlign w:val="bottom"/>
            <w:gridSpan w:val="3"/>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(79,500)</w:t>
            </w:r>
            <w:r>
              <w:rPr>
                <w:rFonts w:ascii="Times New Roman" w:cs="Times New Roman" w:eastAsia="Times New Roman" w:hAnsi="Times New Roman"/>
                <w:sz w:val="14"/>
                <w:szCs w:val="14"/>
                <w:b w:val="1"/>
                <w:bCs w:val="1"/>
                <w:color w:val="auto"/>
              </w:rPr>
              <w:t>DD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w:t>
            </w:r>
            <w:r>
              <w:rPr>
                <w:rFonts w:ascii="Times New Roman" w:cs="Times New Roman" w:eastAsia="Times New Roman" w:hAnsi="Times New Roman"/>
                <w:sz w:val="14"/>
                <w:szCs w:val="14"/>
                <w:b w:val="1"/>
                <w:bCs w:val="1"/>
                <w:color w:val="auto"/>
              </w:rPr>
              <w:t>EE</w:t>
            </w: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w:t>
            </w:r>
            <w:r>
              <w:rPr>
                <w:rFonts w:ascii="Times New Roman" w:cs="Times New Roman" w:eastAsia="Times New Roman" w:hAnsi="Times New Roman"/>
                <w:sz w:val="14"/>
                <w:szCs w:val="14"/>
                <w:b w:val="1"/>
                <w:bCs w:val="1"/>
                <w:color w:val="auto"/>
              </w:rPr>
              <w:t>FF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(708)</w:t>
            </w:r>
            <w:r>
              <w:rPr>
                <w:rFonts w:ascii="Times New Roman" w:cs="Times New Roman" w:eastAsia="Times New Roman" w:hAnsi="Times New Roman"/>
                <w:sz w:val="14"/>
                <w:szCs w:val="14"/>
                <w:b w:val="1"/>
                <w:bCs w:val="1"/>
                <w:color w:val="auto"/>
              </w:rPr>
              <w:t>HH</w:t>
            </w: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costs</w:t>
            </w:r>
          </w:p>
        </w:tc>
        <w:tc>
          <w:tcPr>
            <w:tcW w:w="140" w:type="dxa"/>
            <w:vAlign w:val="bottom"/>
          </w:tcPr>
          <w:p>
            <w:pPr>
              <w:spacing w:after="0"/>
              <w:rPr>
                <w:sz w:val="12"/>
                <w:szCs w:val="12"/>
                <w:color w:val="auto"/>
              </w:rPr>
            </w:pPr>
          </w:p>
        </w:tc>
        <w:tc>
          <w:tcPr>
            <w:tcW w:w="14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Impairment loss on trade and</w:t>
            </w:r>
          </w:p>
        </w:tc>
        <w:tc>
          <w:tcPr>
            <w:tcW w:w="140" w:type="dxa"/>
            <w:vAlign w:val="bottom"/>
            <w:shd w:val="clear" w:color="auto" w:fill="CFF0FC"/>
          </w:tcPr>
          <w:p>
            <w:pPr>
              <w:spacing w:after="0"/>
              <w:rPr>
                <w:sz w:val="10"/>
                <w:szCs w:val="10"/>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(2,392)</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(2,392)</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receivables</w:t>
            </w:r>
          </w:p>
        </w:tc>
        <w:tc>
          <w:tcPr>
            <w:tcW w:w="140" w:type="dxa"/>
            <w:vAlign w:val="bottom"/>
            <w:shd w:val="clear" w:color="auto" w:fill="CFF0FC"/>
          </w:tcPr>
          <w:p>
            <w:pPr>
              <w:spacing w:after="0"/>
              <w:rPr>
                <w:sz w:val="14"/>
                <w:szCs w:val="14"/>
                <w:color w:val="auto"/>
              </w:rPr>
            </w:pPr>
          </w:p>
        </w:tc>
        <w:tc>
          <w:tcPr>
            <w:tcW w:w="1480" w:type="dxa"/>
            <w:vAlign w:val="bottom"/>
            <w:gridSpan w:val="3"/>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w:t>
            </w:r>
          </w:p>
        </w:tc>
        <w:tc>
          <w:tcPr>
            <w:tcW w:w="140" w:type="dxa"/>
            <w:vAlign w:val="bottom"/>
          </w:tcPr>
          <w:p>
            <w:pPr>
              <w:spacing w:after="0"/>
              <w:rPr>
                <w:sz w:val="12"/>
                <w:szCs w:val="12"/>
                <w:color w:val="auto"/>
              </w:rPr>
            </w:pPr>
          </w:p>
        </w:tc>
        <w:tc>
          <w:tcPr>
            <w:tcW w:w="14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Administrative expenses –</w:t>
            </w:r>
          </w:p>
        </w:tc>
        <w:tc>
          <w:tcPr>
            <w:tcW w:w="140" w:type="dxa"/>
            <w:vAlign w:val="bottom"/>
            <w:shd w:val="clear" w:color="auto" w:fill="CFF0FC"/>
          </w:tcPr>
          <w:p>
            <w:pPr>
              <w:spacing w:after="0"/>
              <w:rPr>
                <w:sz w:val="10"/>
                <w:szCs w:val="10"/>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FF0FC"/>
          </w:tcPr>
          <w:p>
            <w:pPr>
              <w:spacing w:after="0"/>
              <w:rPr>
                <w:sz w:val="10"/>
                <w:szCs w:val="10"/>
                <w:color w:val="auto"/>
              </w:rPr>
            </w:pPr>
          </w:p>
        </w:tc>
        <w:tc>
          <w:tcPr>
            <w:tcW w:w="140" w:type="dxa"/>
            <w:vAlign w:val="bottom"/>
            <w:vMerge w:val="restart"/>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w:t>
            </w:r>
            <w:r>
              <w:rPr>
                <w:rFonts w:ascii="Times New Roman" w:cs="Times New Roman" w:eastAsia="Times New Roman" w:hAnsi="Times New Roman"/>
                <w:sz w:val="14"/>
                <w:szCs w:val="14"/>
                <w:b w:val="1"/>
                <w:bCs w:val="1"/>
                <w:color w:val="auto"/>
              </w:rPr>
              <w:t>BB</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16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related party</w:t>
            </w:r>
          </w:p>
        </w:tc>
        <w:tc>
          <w:tcPr>
            <w:tcW w:w="140" w:type="dxa"/>
            <w:vAlign w:val="bottom"/>
            <w:shd w:val="clear" w:color="auto" w:fill="CFF0FC"/>
          </w:tcPr>
          <w:p>
            <w:pPr>
              <w:spacing w:after="0"/>
              <w:rPr>
                <w:sz w:val="13"/>
                <w:szCs w:val="13"/>
                <w:color w:val="auto"/>
              </w:rPr>
            </w:pPr>
          </w:p>
        </w:tc>
        <w:tc>
          <w:tcPr>
            <w:tcW w:w="1180" w:type="dxa"/>
            <w:vAlign w:val="bottom"/>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380" w:type="dxa"/>
            <w:vAlign w:val="bottom"/>
            <w:gridSpan w:val="2"/>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 w:type="dxa"/>
            <w:vAlign w:val="bottom"/>
          </w:tcPr>
          <w:p>
            <w:pPr>
              <w:spacing w:after="0"/>
              <w:rPr>
                <w:sz w:val="15"/>
                <w:szCs w:val="15"/>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profit/(loss)</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83,151</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(2,264)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(90,248)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(9,381)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Share of net loss of investments</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accounted for using the equity</w:t>
            </w:r>
          </w:p>
        </w:tc>
        <w:tc>
          <w:tcPr>
            <w:tcW w:w="140" w:type="dxa"/>
            <w:vAlign w:val="bottom"/>
            <w:shd w:val="clear" w:color="auto" w:fill="CFF0FC"/>
          </w:tcPr>
          <w:p>
            <w:pPr>
              <w:spacing w:after="0"/>
              <w:rPr>
                <w:sz w:val="12"/>
                <w:szCs w:val="12"/>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(618)</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method</w:t>
            </w:r>
          </w:p>
        </w:tc>
        <w:tc>
          <w:tcPr>
            <w:tcW w:w="140" w:type="dxa"/>
            <w:vAlign w:val="bottom"/>
            <w:shd w:val="clear" w:color="auto" w:fill="CFF0FC"/>
          </w:tcPr>
          <w:p>
            <w:pPr>
              <w:spacing w:after="0"/>
              <w:rPr>
                <w:sz w:val="14"/>
                <w:szCs w:val="14"/>
                <w:color w:val="auto"/>
              </w:rPr>
            </w:pPr>
          </w:p>
        </w:tc>
        <w:tc>
          <w:tcPr>
            <w:tcW w:w="1480" w:type="dxa"/>
            <w:vAlign w:val="bottom"/>
            <w:gridSpan w:val="3"/>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140" w:type="dxa"/>
            <w:vAlign w:val="bottom"/>
          </w:tcPr>
          <w:p>
            <w:pPr>
              <w:spacing w:after="0"/>
              <w:rPr>
                <w:sz w:val="12"/>
                <w:szCs w:val="12"/>
                <w:color w:val="auto"/>
              </w:rPr>
            </w:pPr>
          </w:p>
        </w:tc>
        <w:tc>
          <w:tcPr>
            <w:tcW w:w="148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6,568</w:t>
            </w: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6,568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14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(36,265)</w:t>
            </w: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(36,265)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income on investments</w:t>
            </w:r>
          </w:p>
        </w:tc>
        <w:tc>
          <w:tcPr>
            <w:tcW w:w="140" w:type="dxa"/>
            <w:vAlign w:val="bottom"/>
          </w:tcPr>
          <w:p>
            <w:pPr>
              <w:spacing w:after="0"/>
              <w:rPr>
                <w:sz w:val="10"/>
                <w:szCs w:val="10"/>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5,869</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(5,869)</w:t>
            </w:r>
            <w:r>
              <w:rPr>
                <w:rFonts w:ascii="Times New Roman" w:cs="Times New Roman" w:eastAsia="Times New Roman" w:hAnsi="Times New Roman"/>
                <w:sz w:val="14"/>
                <w:szCs w:val="14"/>
                <w:b w:val="1"/>
                <w:bCs w:val="1"/>
                <w:color w:val="auto"/>
              </w:rPr>
              <w:t>CC</w:t>
            </w:r>
          </w:p>
        </w:tc>
        <w:tc>
          <w:tcPr>
            <w:tcW w:w="178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held in the Trust Account</w:t>
            </w: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Realized gain on sale of</w:t>
            </w:r>
          </w:p>
        </w:tc>
        <w:tc>
          <w:tcPr>
            <w:tcW w:w="140" w:type="dxa"/>
            <w:vAlign w:val="bottom"/>
            <w:shd w:val="clear" w:color="auto" w:fill="CFF0FC"/>
          </w:tcPr>
          <w:p>
            <w:pPr>
              <w:spacing w:after="0"/>
              <w:rPr>
                <w:sz w:val="10"/>
                <w:szCs w:val="10"/>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GG</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40" w:type="dxa"/>
            <w:vAlign w:val="bottom"/>
            <w:shd w:val="clear" w:color="auto" w:fill="CFF0FC"/>
          </w:tcPr>
          <w:p>
            <w:pPr>
              <w:spacing w:after="0"/>
              <w:rPr>
                <w:sz w:val="14"/>
                <w:szCs w:val="14"/>
                <w:color w:val="auto"/>
              </w:rPr>
            </w:pPr>
          </w:p>
        </w:tc>
        <w:tc>
          <w:tcPr>
            <w:tcW w:w="1480" w:type="dxa"/>
            <w:vAlign w:val="bottom"/>
            <w:gridSpan w:val="3"/>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GG</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gains / (losses)</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2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Profit/(loss) before taxation</w:t>
            </w:r>
          </w:p>
        </w:tc>
        <w:tc>
          <w:tcPr>
            <w:tcW w:w="14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52,836</w:t>
            </w:r>
          </w:p>
        </w:tc>
        <w:tc>
          <w:tcPr>
            <w:tcW w:w="11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3,605</w:t>
            </w:r>
          </w:p>
        </w:tc>
        <w:tc>
          <w:tcPr>
            <w:tcW w:w="12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2,572</w:t>
            </w:r>
          </w:p>
        </w:tc>
        <w:tc>
          <w:tcPr>
            <w:tcW w:w="13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(96,117)</w:t>
            </w:r>
          </w:p>
        </w:tc>
        <w:tc>
          <w:tcPr>
            <w:tcW w:w="112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(37,124)</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Taxation</w:t>
            </w:r>
          </w:p>
        </w:tc>
        <w:tc>
          <w:tcPr>
            <w:tcW w:w="140" w:type="dxa"/>
            <w:vAlign w:val="bottom"/>
            <w:shd w:val="clear" w:color="auto" w:fill="CFF0FC"/>
          </w:tcPr>
          <w:p>
            <w:pPr>
              <w:spacing w:after="0"/>
              <w:rPr>
                <w:sz w:val="12"/>
                <w:szCs w:val="12"/>
                <w:color w:val="auto"/>
              </w:rPr>
            </w:pPr>
          </w:p>
        </w:tc>
        <w:tc>
          <w:tcPr>
            <w:tcW w:w="148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(6,032)</w:t>
            </w: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(6,032)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1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Profit/(loss) for the period</w:t>
            </w:r>
          </w:p>
        </w:tc>
        <w:tc>
          <w:tcPr>
            <w:tcW w:w="140" w:type="dxa"/>
            <w:vAlign w:val="bottom"/>
            <w:tcBorders>
              <w:top w:val="single" w:sz="8" w:color="CFF0FC"/>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46,804</w:t>
            </w:r>
          </w:p>
        </w:tc>
        <w:tc>
          <w:tcPr>
            <w:tcW w:w="140" w:type="dxa"/>
            <w:vAlign w:val="bottom"/>
            <w:tcBorders>
              <w:top w:val="single" w:sz="8" w:color="CFF0FC"/>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3,605</w:t>
            </w:r>
          </w:p>
        </w:tc>
        <w:tc>
          <w:tcPr>
            <w:tcW w:w="80" w:type="dxa"/>
            <w:vAlign w:val="bottom"/>
            <w:tcBorders>
              <w:top w:val="single" w:sz="8" w:color="CFF0FC"/>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2,572</w:t>
            </w:r>
          </w:p>
        </w:tc>
        <w:tc>
          <w:tcPr>
            <w:tcW w:w="80" w:type="dxa"/>
            <w:vAlign w:val="bottom"/>
            <w:tcBorders>
              <w:top w:val="single" w:sz="8" w:color="CFF0FC"/>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(96,117)</w:t>
            </w:r>
          </w:p>
        </w:tc>
        <w:tc>
          <w:tcPr>
            <w:tcW w:w="260" w:type="dxa"/>
            <w:vAlign w:val="bottom"/>
            <w:tcBorders>
              <w:top w:val="single" w:sz="8" w:color="CFF0FC"/>
              <w:bottom w:val="single" w:sz="8" w:color="CFF0FC"/>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(45,234)</w:t>
            </w:r>
          </w:p>
        </w:tc>
        <w:tc>
          <w:tcPr>
            <w:tcW w:w="100" w:type="dxa"/>
            <w:vAlign w:val="bottom"/>
            <w:tcBorders>
              <w:top w:val="single" w:sz="8" w:color="CFF0FC"/>
              <w:bottom w:val="single" w:sz="8" w:color="CFF0FC"/>
            </w:tcBorders>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1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160" w:type="dxa"/>
            <w:vAlign w:val="bottom"/>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Items that may be subsequently</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1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reclassified to profit or loss: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differences – foreign</w:t>
            </w:r>
          </w:p>
        </w:tc>
        <w:tc>
          <w:tcPr>
            <w:tcW w:w="140" w:type="dxa"/>
            <w:vAlign w:val="bottom"/>
            <w:shd w:val="clear" w:color="auto" w:fill="CFF0FC"/>
          </w:tcPr>
          <w:p>
            <w:pPr>
              <w:spacing w:after="0"/>
              <w:rPr>
                <w:sz w:val="12"/>
                <w:szCs w:val="12"/>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218</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218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shd w:val="clear" w:color="auto" w:fill="CFF0FC"/>
          </w:tcPr>
          <w:p>
            <w:pPr>
              <w:spacing w:after="0"/>
              <w:rPr>
                <w:sz w:val="14"/>
                <w:szCs w:val="14"/>
                <w:color w:val="auto"/>
              </w:rPr>
            </w:pPr>
          </w:p>
        </w:tc>
        <w:tc>
          <w:tcPr>
            <w:tcW w:w="1480" w:type="dxa"/>
            <w:vAlign w:val="bottom"/>
            <w:gridSpan w:val="3"/>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cash</w:t>
            </w:r>
          </w:p>
        </w:tc>
        <w:tc>
          <w:tcPr>
            <w:tcW w:w="140" w:type="dxa"/>
            <w:vAlign w:val="bottom"/>
          </w:tcPr>
          <w:p>
            <w:pPr>
              <w:spacing w:after="0"/>
              <w:rPr>
                <w:sz w:val="10"/>
                <w:szCs w:val="10"/>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(3,089)</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(3,089)</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flow hedges</w:t>
            </w:r>
          </w:p>
        </w:tc>
        <w:tc>
          <w:tcPr>
            <w:tcW w:w="1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Amounts reclassified to profit or</w:t>
            </w:r>
          </w:p>
        </w:tc>
        <w:tc>
          <w:tcPr>
            <w:tcW w:w="140" w:type="dxa"/>
            <w:vAlign w:val="bottom"/>
            <w:shd w:val="clear" w:color="auto" w:fill="CFF0FC"/>
          </w:tcPr>
          <w:p>
            <w:pPr>
              <w:spacing w:after="0"/>
              <w:rPr>
                <w:sz w:val="10"/>
                <w:szCs w:val="10"/>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1,475</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1,475</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from cash flow hedges</w:t>
            </w:r>
          </w:p>
        </w:tc>
        <w:tc>
          <w:tcPr>
            <w:tcW w:w="140" w:type="dxa"/>
            <w:vAlign w:val="bottom"/>
            <w:shd w:val="clear" w:color="auto" w:fill="CFF0FC"/>
          </w:tcPr>
          <w:p>
            <w:pPr>
              <w:spacing w:after="0"/>
              <w:rPr>
                <w:sz w:val="14"/>
                <w:szCs w:val="14"/>
                <w:color w:val="auto"/>
              </w:rPr>
            </w:pPr>
          </w:p>
        </w:tc>
        <w:tc>
          <w:tcPr>
            <w:tcW w:w="1480" w:type="dxa"/>
            <w:vAlign w:val="bottom"/>
            <w:gridSpan w:val="3"/>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unrealized</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appreciation of available-for-</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w:t>
            </w:r>
            <w:r>
              <w:rPr>
                <w:rFonts w:ascii="Times New Roman" w:cs="Times New Roman" w:eastAsia="Times New Roman" w:hAnsi="Times New Roman"/>
                <w:sz w:val="14"/>
                <w:szCs w:val="14"/>
                <w:b w:val="1"/>
                <w:bCs w:val="1"/>
                <w:color w:val="auto"/>
              </w:rPr>
              <w:t>GG</w:t>
            </w:r>
          </w:p>
        </w:tc>
        <w:tc>
          <w:tcPr>
            <w:tcW w:w="178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 debt securities</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1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i w:val="1"/>
                <w:iCs w:val="1"/>
                <w:color w:val="auto"/>
              </w:rPr>
              <w:t>Items that will not be</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reclassified to profit or loss:</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Remeasurements of defined</w:t>
            </w:r>
          </w:p>
        </w:tc>
        <w:tc>
          <w:tcPr>
            <w:tcW w:w="140" w:type="dxa"/>
            <w:vAlign w:val="bottom"/>
          </w:tcPr>
          <w:p>
            <w:pPr>
              <w:spacing w:after="0"/>
              <w:rPr>
                <w:sz w:val="10"/>
                <w:szCs w:val="10"/>
                <w:color w:val="auto"/>
              </w:rPr>
            </w:pPr>
          </w:p>
        </w:tc>
        <w:tc>
          <w:tcPr>
            <w:tcW w:w="14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(682)</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(682)</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1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benefit plans</w:t>
            </w:r>
          </w:p>
        </w:tc>
        <w:tc>
          <w:tcPr>
            <w:tcW w:w="14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16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Other comprehensive income</w:t>
            </w:r>
          </w:p>
        </w:tc>
        <w:tc>
          <w:tcPr>
            <w:tcW w:w="140" w:type="dxa"/>
            <w:vAlign w:val="bottom"/>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1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 for the year, net of</w:t>
            </w:r>
          </w:p>
        </w:tc>
        <w:tc>
          <w:tcPr>
            <w:tcW w:w="140" w:type="dxa"/>
            <w:vAlign w:val="bottom"/>
            <w:shd w:val="clear" w:color="auto" w:fill="CFF0FC"/>
          </w:tcPr>
          <w:p>
            <w:pPr>
              <w:spacing w:after="0"/>
              <w:rPr>
                <w:sz w:val="12"/>
                <w:szCs w:val="12"/>
                <w:color w:val="auto"/>
              </w:rPr>
            </w:pPr>
          </w:p>
        </w:tc>
        <w:tc>
          <w:tcPr>
            <w:tcW w:w="1480" w:type="dxa"/>
            <w:vAlign w:val="bottom"/>
            <w:gridSpan w:val="3"/>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(2,078)</w:t>
            </w:r>
          </w:p>
        </w:tc>
        <w:tc>
          <w:tcPr>
            <w:tcW w:w="11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(2,078)</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160" w:type="dxa"/>
            <w:vAlign w:val="bottom"/>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income tax</w:t>
            </w:r>
          </w:p>
        </w:tc>
        <w:tc>
          <w:tcPr>
            <w:tcW w:w="140" w:type="dxa"/>
            <w:vAlign w:val="bottom"/>
            <w:shd w:val="clear" w:color="auto" w:fill="CFF0FC"/>
          </w:tcPr>
          <w:p>
            <w:pPr>
              <w:spacing w:after="0"/>
              <w:rPr>
                <w:sz w:val="13"/>
                <w:szCs w:val="13"/>
                <w:color w:val="auto"/>
              </w:rPr>
            </w:pPr>
          </w:p>
        </w:tc>
        <w:tc>
          <w:tcPr>
            <w:tcW w:w="1480" w:type="dxa"/>
            <w:vAlign w:val="bottom"/>
            <w:gridSpan w:val="3"/>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1380" w:type="dxa"/>
            <w:vAlign w:val="bottom"/>
            <w:gridSpan w:val="2"/>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216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comprehensive income</w:t>
            </w:r>
          </w:p>
        </w:tc>
        <w:tc>
          <w:tcPr>
            <w:tcW w:w="140" w:type="dxa"/>
            <w:vAlign w:val="bottom"/>
            <w:tcBorders>
              <w:top w:val="single" w:sz="8" w:color="CFF0FC"/>
            </w:tcBorders>
          </w:tcPr>
          <w:p>
            <w:pPr>
              <w:spacing w:after="0"/>
              <w:rPr>
                <w:sz w:val="10"/>
                <w:szCs w:val="1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w w:val="93"/>
              </w:rPr>
              <w:t>44,726</w:t>
            </w:r>
          </w:p>
        </w:tc>
        <w:tc>
          <w:tcPr>
            <w:tcW w:w="140" w:type="dxa"/>
            <w:vAlign w:val="bottom"/>
            <w:tcBorders>
              <w:top w:val="single" w:sz="8" w:color="CFF0FC"/>
            </w:tcBorders>
          </w:tcPr>
          <w:p>
            <w:pPr>
              <w:spacing w:after="0"/>
              <w:rPr>
                <w:sz w:val="10"/>
                <w:szCs w:val="10"/>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3,620</w:t>
            </w:r>
          </w:p>
        </w:tc>
        <w:tc>
          <w:tcPr>
            <w:tcW w:w="80" w:type="dxa"/>
            <w:vAlign w:val="bottom"/>
            <w:tcBorders>
              <w:top w:val="single" w:sz="8" w:color="CFF0FC"/>
            </w:tcBorders>
          </w:tcPr>
          <w:p>
            <w:pPr>
              <w:spacing w:after="0"/>
              <w:rPr>
                <w:sz w:val="10"/>
                <w:szCs w:val="10"/>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2,572</w:t>
            </w:r>
          </w:p>
        </w:tc>
        <w:tc>
          <w:tcPr>
            <w:tcW w:w="80" w:type="dxa"/>
            <w:vAlign w:val="bottom"/>
            <w:tcBorders>
              <w:top w:val="single" w:sz="8" w:color="CFF0FC"/>
            </w:tcBorders>
          </w:tcPr>
          <w:p>
            <w:pPr>
              <w:spacing w:after="0"/>
              <w:rPr>
                <w:sz w:val="10"/>
                <w:szCs w:val="10"/>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(96,132)</w:t>
            </w:r>
          </w:p>
        </w:tc>
        <w:tc>
          <w:tcPr>
            <w:tcW w:w="260" w:type="dxa"/>
            <w:vAlign w:val="bottom"/>
            <w:tcBorders>
              <w:top w:val="single" w:sz="8" w:color="CFF0FC"/>
            </w:tcBorders>
          </w:tcPr>
          <w:p>
            <w:pPr>
              <w:spacing w:after="0"/>
              <w:rPr>
                <w:sz w:val="10"/>
                <w:szCs w:val="10"/>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(44,234)</w:t>
            </w:r>
          </w:p>
        </w:tc>
        <w:tc>
          <w:tcPr>
            <w:tcW w:w="100" w:type="dxa"/>
            <w:vAlign w:val="bottom"/>
            <w:tcBorders>
              <w:top w:val="single" w:sz="8" w:color="CFF0FC"/>
            </w:tcBorders>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 w:type="dxa"/>
            <w:vAlign w:val="bottom"/>
          </w:tcPr>
          <w:p>
            <w:pPr>
              <w:spacing w:after="0"/>
              <w:rPr>
                <w:sz w:val="11"/>
                <w:szCs w:val="11"/>
                <w:color w:val="auto"/>
              </w:rPr>
            </w:pPr>
          </w:p>
        </w:tc>
        <w:tc>
          <w:tcPr>
            <w:tcW w:w="2160" w:type="dxa"/>
            <w:vAlign w:val="bottom"/>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(loss) for the year</w:t>
            </w:r>
          </w:p>
        </w:tc>
        <w:tc>
          <w:tcPr>
            <w:tcW w:w="140" w:type="dxa"/>
            <w:vAlign w:val="bottom"/>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Borders>
              <w:bottom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49,815,145</w:t>
            </w: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ordinary shares outstanding</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earnings per share</w:t>
            </w:r>
          </w:p>
        </w:tc>
        <w:tc>
          <w:tcPr>
            <w:tcW w:w="1620" w:type="dxa"/>
            <w:vAlign w:val="bottom"/>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0.940</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number of</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49,967,173</w:t>
            </w: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6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0.937</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0"/>
        </w:trPr>
        <w:tc>
          <w:tcPr>
            <w:tcW w:w="6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-4996815</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-4996815</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-4996815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-4996815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-4996815</wp:posOffset>
            </wp:positionV>
            <wp:extent cx="1714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-4996815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-3762375</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-3762375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-3762375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-3762375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-3762375</wp:posOffset>
            </wp:positionV>
            <wp:extent cx="17145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-3762375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-3565525</wp:posOffset>
            </wp:positionV>
            <wp:extent cx="1028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-3565525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-3565525</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-3565525</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-3565525</wp:posOffset>
            </wp:positionV>
            <wp:extent cx="1714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-3565525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-1370965</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-1370965</wp:posOffset>
            </wp:positionV>
            <wp:extent cx="76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4184650</wp:posOffset>
            </wp:positionH>
            <wp:positionV relativeFrom="paragraph">
              <wp:posOffset>-1370965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-1370965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5710555</wp:posOffset>
            </wp:positionH>
            <wp:positionV relativeFrom="paragraph">
              <wp:posOffset>-1370965</wp:posOffset>
            </wp:positionV>
            <wp:extent cx="1714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-1370965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853" w:right="4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IFRS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CAEP (U.S.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Policy and</w:t>
            </w:r>
          </w:p>
        </w:tc>
        <w:tc>
          <w:tcPr>
            <w:tcW w:w="80" w:type="dxa"/>
            <w:vAlign w:val="bottom"/>
          </w:tcPr>
          <w:p>
            <w:pPr>
              <w:spacing w:after="0"/>
              <w:rPr>
                <w:sz w:val="12"/>
                <w:szCs w:val="12"/>
                <w:color w:val="auto"/>
              </w:rPr>
            </w:pPr>
          </w:p>
        </w:tc>
        <w:tc>
          <w:tcPr>
            <w:tcW w:w="154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7"/>
        </w:trPr>
        <w:tc>
          <w:tcPr>
            <w:tcW w:w="2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Pubco (IFRS</w:t>
            </w:r>
          </w:p>
        </w:tc>
        <w:tc>
          <w:tcPr>
            <w:tcW w:w="160" w:type="dxa"/>
            <w:vAlign w:val="bottom"/>
          </w:tcPr>
          <w:p>
            <w:pPr>
              <w:spacing w:after="0"/>
              <w:rPr>
                <w:sz w:val="12"/>
                <w:szCs w:val="12"/>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AIR (IFRS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Presentation</w:t>
            </w:r>
          </w:p>
        </w:tc>
        <w:tc>
          <w:tcPr>
            <w:tcW w:w="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(Except share and per share</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GAAP</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Alignment</w:t>
            </w:r>
          </w:p>
        </w:tc>
        <w:tc>
          <w:tcPr>
            <w:tcW w:w="80" w:type="dxa"/>
            <w:vAlign w:val="bottom"/>
          </w:tcPr>
          <w:p>
            <w:pPr>
              <w:spacing w:after="0"/>
              <w:rPr>
                <w:sz w:val="12"/>
                <w:szCs w:val="12"/>
                <w:color w:val="auto"/>
              </w:rPr>
            </w:pPr>
          </w:p>
        </w:tc>
        <w:tc>
          <w:tcPr>
            <w:tcW w:w="15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5"/>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data)</w:t>
            </w:r>
          </w:p>
        </w:tc>
        <w:tc>
          <w:tcPr>
            <w:tcW w:w="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5"/>
                <w:szCs w:val="15"/>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80" w:type="dxa"/>
            <w:vAlign w:val="bottom"/>
          </w:tcPr>
          <w:p>
            <w:pPr>
              <w:spacing w:after="0"/>
              <w:rPr>
                <w:sz w:val="15"/>
                <w:szCs w:val="15"/>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17"/>
        </w:trPr>
        <w:tc>
          <w:tcPr>
            <w:tcW w:w="2160" w:type="dxa"/>
            <w:vAlign w:val="bottom"/>
            <w:tcBorders>
              <w:top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number of</w:t>
            </w:r>
          </w:p>
        </w:tc>
        <w:tc>
          <w:tcPr>
            <w:tcW w:w="140" w:type="dxa"/>
            <w:vAlign w:val="bottom"/>
            <w:shd w:val="clear" w:color="auto" w:fill="CFF0FC"/>
          </w:tcPr>
          <w:p>
            <w:pPr>
              <w:spacing w:after="0"/>
              <w:rPr>
                <w:sz w:val="10"/>
                <w:szCs w:val="10"/>
                <w:color w:val="auto"/>
              </w:rPr>
            </w:pPr>
          </w:p>
        </w:tc>
        <w:tc>
          <w:tcPr>
            <w:tcW w:w="118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ordinary shares outstanding:</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 Public shares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14,215,890</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Class A – Private placement</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6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298,740</w:t>
            </w: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gridSpan w:val="3"/>
            <w:vMerge w:val="continue"/>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Class B – Ordinary shares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6,463,562</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net income</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(loss) per share:</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 Public shares</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Class A – Private placement</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26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0.17</w:t>
            </w: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60" w:type="dxa"/>
            <w:vAlign w:val="bottom"/>
            <w:gridSpan w:val="3"/>
            <w:vMerge w:val="continue"/>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Class B – Ordinary shares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0.17</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16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Basic and diluted pro forma</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 forma weighted average</w:t>
            </w: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number of shares outstanding</w:t>
            </w: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146,697,185</w:t>
            </w:r>
          </w:p>
        </w:tc>
        <w:tc>
          <w:tcPr>
            <w:tcW w:w="0" w:type="dxa"/>
            <w:vAlign w:val="bottom"/>
          </w:tcPr>
          <w:p>
            <w:pPr>
              <w:spacing w:after="0"/>
              <w:rPr>
                <w:sz w:val="1"/>
                <w:szCs w:val="1"/>
                <w:color w:val="auto"/>
              </w:rPr>
            </w:pPr>
          </w:p>
        </w:tc>
      </w:tr>
      <w:tr>
        <w:trPr>
          <w:trHeight w:val="171"/>
        </w:trPr>
        <w:tc>
          <w:tcPr>
            <w:tcW w:w="2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basic and diluted</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Pro forma earnings per share –</w:t>
            </w: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620" w:type="dxa"/>
            <w:vAlign w:val="bottom"/>
            <w:gridSpan w:val="4"/>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20" w:type="dxa"/>
            <w:vAlign w:val="bottom"/>
            <w:gridSpan w:val="4"/>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firstLine="4"/>
        <w:spacing w:after="0"/>
        <w:tabs>
          <w:tab w:leader="none" w:pos="100" w:val="left"/>
        </w:tabs>
        <w:numPr>
          <w:ilvl w:val="0"/>
          <w:numId w:val="1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amounts include adjustments for rounding which may not be reflected in the notes to the unaudited pro forma condensed combined financial information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454660</wp:posOffset>
            </wp:positionV>
            <wp:extent cx="70377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832" w:right="10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Basis of Presentation</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financial position as of December 31, 2025 assumes that the Business Combination occurred on December 31, 2025. The unaudited pro forma condensed combined statement of comprehensive income for the year ended December 31, 2025 assumes the pro forma effect to the Business Combination as if it had occurred on January 1, 2025, being the earliest period presented.</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and should be read in conjunction with, the following:</w:t>
      </w:r>
    </w:p>
    <w:p>
      <w:pPr>
        <w:spacing w:after="0" w:line="54" w:lineRule="exact"/>
        <w:rPr>
          <w:sz w:val="20"/>
          <w:szCs w:val="20"/>
          <w:color w:val="auto"/>
        </w:rPr>
      </w:pPr>
    </w:p>
    <w:p>
      <w:pPr>
        <w:ind w:left="880" w:hanging="436"/>
        <w:spacing w:after="0" w:line="282" w:lineRule="auto"/>
        <w:tabs>
          <w:tab w:leader="none" w:pos="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Pubco’s audited financial statements as of and for the period ended December 31, 2025 (being October 28, 2025, the inception date, to December 31, 2025) and the related notes,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AIR’s audited consolidated financial statements as of and for the year ended December 31, 2025 and the related notes, included elsewhere in this proxy statement/prospectus; and</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CAEP’s audited financial statements as of and for the year ended December 31, 2025 and the related notes, included elsewhere in this proxy statement/prospectus.</w:t>
      </w:r>
    </w:p>
    <w:p>
      <w:pPr>
        <w:spacing w:after="0" w:line="16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historical financial statements of Pubco have been prepared in accordance with IFRS and in its presentation and reporting currency of the U.S. dollar. The historical financial statements of AIR have been prepared in accordance with IFRS and in its presentation and reporting currency of the U.S. dollar. The historical financial statements of CAEP have been prepared in accordance with U.S. GAAP in its presentation and reporting currency of U.S. dollar. The unaudited pro forma condensed combined financial information includes pro forma adjustments to convert the financial information of CAEP from U.S. GAAP to IFRS as well as reclassifications to conform CAEP’s historical accounting presentations to Pubco’s and AIR’s accounting presentations, in each case for the relevant periods (refer to </w:t>
      </w:r>
      <w:r>
        <w:rPr>
          <w:rFonts w:ascii="Times New Roman" w:cs="Times New Roman" w:eastAsia="Times New Roman" w:hAnsi="Times New Roman"/>
          <w:sz w:val="18"/>
          <w:szCs w:val="18"/>
          <w:i w:val="1"/>
          <w:iCs w:val="1"/>
          <w:color w:val="auto"/>
        </w:rPr>
        <w:t>‘IFRS Policy and Presentation Alignment’</w:t>
      </w:r>
      <w:r>
        <w:rPr>
          <w:rFonts w:ascii="Times New Roman" w:cs="Times New Roman" w:eastAsia="Times New Roman" w:hAnsi="Times New Roman"/>
          <w:sz w:val="18"/>
          <w:szCs w:val="18"/>
          <w:color w:val="auto"/>
        </w:rPr>
        <w:t xml:space="preserve"> below).</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adjustments presented in the unaudited pro forma condensed combined financial information have been identified and presented to provide relevant information necessary for an appropriate understanding of Pubco after giving effect to the Business Combination. Management has made significant estimates and assumptions in its determination of the pro forma adjustments. As the unaudited pro forma condensed combined financial information has been prepared based on these preliminary estimates, the final accounting adjustments recorded may differ materially from the information presented.</w:t>
      </w:r>
    </w:p>
    <w:p>
      <w:pPr>
        <w:spacing w:after="0" w:line="18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are based on certain currently available information and certain assumptions and methodologies that AIR management believes are reasonable under the circumstances. The pro forma adjustments, which are described in the accompanying notes, are preliminary and subject to change as additional information becomes available and is evaluated. Therefore, it is likely that the actual adjustments will differ from the pro forma adjustments and it is possible the difference may be material. AIR believes that its assumptions and methodologies provide a reasonable basis for presenting all of the significant effects of the Business Combination based on information available to AIR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jc w:val="both"/>
        <w:ind w:firstLine="50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as these are expected to be incurred in entities where the treatment would be permanently non-deductible based on the laws of the relevant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IFRS Policy and Presentation Alignment</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for CAEP has been adjusted to give effect to the differences between U.S. GAAP and IFRS for the purposes of the unaudited pro forma condensed combined financial information. The only pro forma adjustments required to convert CAEP’s financial statements from U.S. GAAP to IFRS for purposes of the unaudited pro forma condensed combined financial information consisted of reclassifying CAEP’s Class A Ordinary Shares subject to redemption to current liabilities under IFRS in accordance with IAS 32 ‘</w:t>
      </w:r>
      <w:r>
        <w:rPr>
          <w:rFonts w:ascii="Times New Roman" w:cs="Times New Roman" w:eastAsia="Times New Roman" w:hAnsi="Times New Roman"/>
          <w:sz w:val="18"/>
          <w:szCs w:val="18"/>
          <w:i w:val="1"/>
          <w:iCs w:val="1"/>
          <w:color w:val="auto"/>
        </w:rPr>
        <w:t>Financial Instruments: Disclosure and Presentation</w:t>
      </w:r>
      <w:r>
        <w:rPr>
          <w:rFonts w:ascii="Times New Roman" w:cs="Times New Roman" w:eastAsia="Times New Roman" w:hAnsi="Times New Roman"/>
          <w:sz w:val="18"/>
          <w:szCs w:val="18"/>
          <w:color w:val="auto"/>
        </w:rPr>
        <w:t>’ and remeasuring the liability at fair value upon reclassification, which resulted in a gain recorded in other gains (losses) within the unaudited pro forma condensed combined statement of comprehensive income.</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Further, as part of the preparation of the unaudited pro forma condensed combined financial information, certain reclassifications were made to align the presentation of CAEP's historical financial information in accordance with the presentation of AIR's historical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590550</wp:posOffset>
            </wp:positionV>
            <wp:extent cx="70377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3. Pro Forma Adjustments to Unaudited Pro Forma Condensed Combined Financial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 of financial position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are as follows:</w:t>
      </w:r>
    </w:p>
    <w:p>
      <w:pPr>
        <w:spacing w:after="0" w:line="99" w:lineRule="exact"/>
        <w:rPr>
          <w:sz w:val="20"/>
          <w:szCs w:val="20"/>
          <w:color w:val="auto"/>
        </w:rPr>
      </w:pPr>
    </w:p>
    <w:p>
      <w:pPr>
        <w:jc w:val="both"/>
        <w:ind w:left="880" w:hanging="436"/>
        <w:spacing w:after="0" w:line="258" w:lineRule="auto"/>
        <w:tabs>
          <w:tab w:leader="none" w:pos="8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liquidation and reclassification of available for sale debt securities and cash held in the Trust Account to cash and cash equivalents that becomes available following the Business Combination. This adjustment resulted in a decrease to available-for-sale debt securities held in Trust Account, at fair value and an increase to cash and cash equivalents of $281.9 million, a decrease in accumulated deficit and accumulated other comprehensive income of $15 thousand, and a decrease in non-current trade and other receivables of $68.</w:t>
      </w:r>
    </w:p>
    <w:p>
      <w:pPr>
        <w:spacing w:after="0" w:line="75"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estimated transaction costs of AIR, amounting to $18.8 million for legal, accounting, filing, and other fees in connection with the Business Combination as follows:</w:t>
      </w:r>
    </w:p>
    <w:p>
      <w:pPr>
        <w:spacing w:after="0" w:line="221" w:lineRule="exact"/>
        <w:rPr>
          <w:sz w:val="20"/>
          <w:szCs w:val="20"/>
          <w:color w:val="auto"/>
        </w:rPr>
      </w:pPr>
    </w:p>
    <w:tbl>
      <w:tblPr>
        <w:tblLayout w:type="fixed"/>
        <w:tblInd w:w="1940" w:type="dxa"/>
        <w:tblCellMar>
          <w:top w:w="0" w:type="dxa"/>
          <w:left w:w="0" w:type="dxa"/>
          <w:bottom w:w="0" w:type="dxa"/>
          <w:right w:w="0" w:type="dxa"/>
        </w:tblCellMar>
      </w:tblPr>
      <w:tr>
        <w:trPr>
          <w:trHeight w:val="175"/>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preliminary estimated transaction costs of AIR </w:t>
            </w:r>
            <w:r>
              <w:rPr>
                <w:rFonts w:ascii="Times New Roman" w:cs="Times New Roman" w:eastAsia="Times New Roman" w:hAnsi="Times New Roman"/>
                <w:sz w:val="18"/>
                <w:szCs w:val="18"/>
                <w:i w:val="1"/>
                <w:iCs w:val="1"/>
                <w:color w:val="auto"/>
              </w:rPr>
              <w:t>(a)</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18,802</w:t>
            </w:r>
          </w:p>
        </w:tc>
        <w:tc>
          <w:tcPr>
            <w:tcW w:w="0" w:type="dxa"/>
            <w:vAlign w:val="bottom"/>
          </w:tcPr>
          <w:p>
            <w:pPr>
              <w:spacing w:after="0"/>
              <w:rPr>
                <w:sz w:val="1"/>
                <w:szCs w:val="1"/>
                <w:color w:val="auto"/>
              </w:rPr>
            </w:pPr>
          </w:p>
        </w:tc>
      </w:tr>
      <w:tr>
        <w:trPr>
          <w:trHeight w:val="196"/>
        </w:trPr>
        <w:tc>
          <w:tcPr>
            <w:tcW w:w="4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Less: Amount recognized as an expense for the year</w:t>
            </w:r>
          </w:p>
        </w:tc>
        <w:tc>
          <w:tcPr>
            <w:tcW w:w="1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9,179</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ended December 31, 2025 </w:t>
            </w:r>
            <w:r>
              <w:rPr>
                <w:rFonts w:ascii="Times New Roman" w:cs="Times New Roman" w:eastAsia="Times New Roman" w:hAnsi="Times New Roman"/>
                <w:sz w:val="18"/>
                <w:szCs w:val="18"/>
                <w:i w:val="1"/>
                <w:iCs w:val="1"/>
                <w:color w:val="auto"/>
              </w:rPr>
              <w:t>(b)</w:t>
            </w:r>
          </w:p>
        </w:tc>
        <w:tc>
          <w:tcPr>
            <w:tcW w:w="1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Remaining costs recognized subsequent to</w:t>
            </w:r>
          </w:p>
        </w:tc>
        <w:tc>
          <w:tcPr>
            <w:tcW w:w="1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December 31, 2025 </w:t>
            </w:r>
            <w:r>
              <w:rPr>
                <w:rFonts w:ascii="Times New Roman" w:cs="Times New Roman" w:eastAsia="Times New Roman" w:hAnsi="Times New Roman"/>
                <w:sz w:val="18"/>
                <w:szCs w:val="18"/>
                <w:i w:val="1"/>
                <w:iCs w:val="1"/>
                <w:color w:val="auto"/>
              </w:rPr>
              <w:t>(c = a - b)</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9,623</w:t>
            </w:r>
          </w:p>
        </w:tc>
        <w:tc>
          <w:tcPr>
            <w:tcW w:w="0" w:type="dxa"/>
            <w:vAlign w:val="bottom"/>
          </w:tcPr>
          <w:p>
            <w:pPr>
              <w:spacing w:after="0"/>
              <w:rPr>
                <w:sz w:val="1"/>
                <w:szCs w:val="1"/>
                <w:color w:val="auto"/>
              </w:rPr>
            </w:pPr>
          </w:p>
        </w:tc>
      </w:tr>
      <w:tr>
        <w:trPr>
          <w:trHeight w:val="196"/>
        </w:trPr>
        <w:tc>
          <w:tcPr>
            <w:tcW w:w="42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Transaction costs paid during the year ended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December 31, 2025 </w:t>
            </w:r>
            <w:r>
              <w:rPr>
                <w:rFonts w:ascii="Times New Roman" w:cs="Times New Roman" w:eastAsia="Times New Roman" w:hAnsi="Times New Roman"/>
                <w:sz w:val="18"/>
                <w:szCs w:val="18"/>
                <w:i w:val="1"/>
                <w:iCs w:val="1"/>
                <w:color w:val="auto"/>
              </w:rPr>
              <w:t>(d)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4,581</w:t>
            </w: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Transaction costs payable as of December 31, 2025</w:t>
            </w: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(e = b - d)</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Remaining costs to be paid </w:t>
            </w:r>
            <w:r>
              <w:rPr>
                <w:rFonts w:ascii="Times New Roman" w:cs="Times New Roman" w:eastAsia="Times New Roman" w:hAnsi="Times New Roman"/>
                <w:sz w:val="18"/>
                <w:szCs w:val="18"/>
                <w:i w:val="1"/>
                <w:iCs w:val="1"/>
                <w:color w:val="auto"/>
              </w:rPr>
              <w:t>(f = a - d)</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above adjustment resulted in the following:</w:t>
      </w:r>
    </w:p>
    <w:p>
      <w:pPr>
        <w:spacing w:after="0" w:line="117" w:lineRule="exact"/>
        <w:rPr>
          <w:sz w:val="20"/>
          <w:szCs w:val="20"/>
          <w:color w:val="auto"/>
        </w:rPr>
      </w:pPr>
    </w:p>
    <w:p>
      <w:pPr>
        <w:ind w:left="1400" w:hanging="438"/>
        <w:spacing w:after="0" w:line="282" w:lineRule="auto"/>
        <w:tabs>
          <w:tab w:leader="none" w:pos="14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$9.6 million in retained earnings (refer to (c) in the table above) to reflect the expense not yet recognized by AIR during the year ended December 31, 2025.</w:t>
      </w:r>
    </w:p>
    <w:p>
      <w:pPr>
        <w:spacing w:after="0" w:line="53" w:lineRule="exact"/>
        <w:rPr>
          <w:rFonts w:ascii="Times New Roman" w:cs="Times New Roman" w:eastAsia="Times New Roman" w:hAnsi="Times New Roman"/>
          <w:sz w:val="18"/>
          <w:szCs w:val="18"/>
          <w:color w:val="auto"/>
        </w:rPr>
      </w:pPr>
    </w:p>
    <w:p>
      <w:pPr>
        <w:ind w:left="1400" w:hanging="438"/>
        <w:spacing w:after="0" w:line="282" w:lineRule="auto"/>
        <w:tabs>
          <w:tab w:leader="none" w:pos="14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$4.6 million to trade and other payables (refer to (e) in the table above) to reflect the payment of the amount accrued as of December 31, 2025.</w:t>
      </w:r>
    </w:p>
    <w:p>
      <w:pPr>
        <w:spacing w:after="0" w:line="53" w:lineRule="exact"/>
        <w:rPr>
          <w:rFonts w:ascii="Times New Roman" w:cs="Times New Roman" w:eastAsia="Times New Roman" w:hAnsi="Times New Roman"/>
          <w:sz w:val="18"/>
          <w:szCs w:val="18"/>
          <w:color w:val="auto"/>
        </w:rPr>
      </w:pPr>
    </w:p>
    <w:p>
      <w:pPr>
        <w:ind w:left="1400" w:hanging="438"/>
        <w:spacing w:after="0" w:line="282" w:lineRule="auto"/>
        <w:tabs>
          <w:tab w:leader="none" w:pos="14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cash and cash equivalents of $14.2 million (refer to (f) in the table above) reflecting the remaining payment of transaction costs.</w:t>
      </w:r>
    </w:p>
    <w:p>
      <w:pPr>
        <w:spacing w:after="0" w:line="162" w:lineRule="exact"/>
        <w:rPr>
          <w:sz w:val="20"/>
          <w:szCs w:val="20"/>
          <w:color w:val="auto"/>
        </w:rPr>
      </w:pPr>
    </w:p>
    <w:p>
      <w:pPr>
        <w:ind w:left="900"/>
        <w:spacing w:after="0" w:line="282" w:lineRule="auto"/>
        <w:rPr>
          <w:sz w:val="20"/>
          <w:szCs w:val="20"/>
          <w:color w:val="auto"/>
        </w:rPr>
      </w:pPr>
      <w:r>
        <w:rPr>
          <w:rFonts w:ascii="Times New Roman" w:cs="Times New Roman" w:eastAsia="Times New Roman" w:hAnsi="Times New Roman"/>
          <w:sz w:val="18"/>
          <w:szCs w:val="18"/>
          <w:color w:val="auto"/>
        </w:rPr>
        <w:t>The transaction costs incurred by CAEP have been included in the calculation of the IFRS 2 listing expense (refer to adjustment (I) below).</w:t>
      </w:r>
    </w:p>
    <w:p>
      <w:pPr>
        <w:spacing w:after="0" w:line="54" w:lineRule="exact"/>
        <w:rPr>
          <w:sz w:val="20"/>
          <w:szCs w:val="20"/>
          <w:color w:val="auto"/>
        </w:rPr>
      </w:pPr>
    </w:p>
    <w:p>
      <w:pPr>
        <w:jc w:val="both"/>
        <w:ind w:left="880" w:hanging="436"/>
        <w:spacing w:after="0" w:line="261"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forfeiture of 3.4 million CAEP Class B Ordinary Shares pursuant to the Sponsor Support Agreement which results in a decrease of $340 in CAEP Class B Ordinary Shares and a corresponding decrease of $340 in capital accumulated deficit (this amount has been reflected as $1 (in $ thousands) in the unaudited pro forma condensed combined balance sheet due to rounding off differences).</w:t>
      </w:r>
    </w:p>
    <w:p>
      <w:pPr>
        <w:spacing w:after="0" w:line="71"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the remaining 3.5 million CAEP Class B Ordinary Shares to CAEP Class A Ordinary Shares on a one-for-one basis, which results in a decrease of $350 in CAEP Class B Ordinary Shares and a corresponding increase of $350 in CAEP Class A Ordinary Shares.</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CAEP Class A Ordinary Shares subject to possible redemption from liabilities to CAEP Class A Ordinary Shares in equity, resulting in a decrease to CAEP Class A Ordinary Shares subject to possible redemptions and an increase to Class A Ordinary Shares of $3 thousand and to share premium of $283.4 million.</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66"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9,408,369 CAEP Class A Ordinary Shares, after the conversion of CAEP Class B Ordinary Shares to CAEP Class A Ordinary Shares (as discussed in (D) above), into 9,408,369 Pubco Ordinary Shares, resulting in a decrease to CAEP Class A Ordinary Shares and increase to share capital of $1 thousand.</w:t>
      </w:r>
    </w:p>
    <w:p>
      <w:pPr>
        <w:spacing w:after="0" w:line="67" w:lineRule="exact"/>
        <w:rPr>
          <w:rFonts w:ascii="Times New Roman" w:cs="Times New Roman" w:eastAsia="Times New Roman" w:hAnsi="Times New Roman"/>
          <w:sz w:val="18"/>
          <w:szCs w:val="18"/>
          <w:color w:val="auto"/>
        </w:rPr>
      </w:pPr>
    </w:p>
    <w:p>
      <w:pPr>
        <w:jc w:val="both"/>
        <w:ind w:left="880" w:hanging="436"/>
        <w:spacing w:after="0" w:line="255" w:lineRule="auto"/>
        <w:tabs>
          <w:tab w:leader="none" w:pos="8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exchange of 49,696,442 AIR Ordinary Shares into 150,978,233 Pubco Ordinary Shares based on the Per Share Jersey Merger Consideration of 3.04, resulting in a decrease to share capital of $968.8 million, an increase to retained earnings of $2.9 million, a decrease to other reserve of $5.4 million, and an increase to cash and cash equivalents of $0.5 million. This includes the impact of 160,164 additional AIR Ordinary Shares for which share options have been or will be exercised by certain AIR employees and the cancellation of 238,577 AIR Ordinary Shares prior to conversion to Pubco Ordinary Shares for no consideration. This amount includes 7,189,417 AIR Earnout Shares subject to AIR Earnout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598805</wp:posOffset>
            </wp:positionV>
            <wp:extent cx="70377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5" w:right="1099" w:bottom="1440" w:gutter="0" w:footer="0" w:header="0"/>
        </w:sectPr>
      </w:pPr>
    </w:p>
    <w:bookmarkStart w:id="156" w:name="page157"/>
    <w:bookmarkEnd w:id="156"/>
    <w:p>
      <w:pPr>
        <w:ind w:left="520" w:hanging="436"/>
        <w:spacing w:after="0" w:line="282"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CAEP’s accumulated deficit and additional paid in capital, which results in a decrease to share premium of $3.3 million.</w:t>
      </w:r>
    </w:p>
    <w:p>
      <w:pPr>
        <w:spacing w:after="0" w:line="53" w:lineRule="exact"/>
        <w:rPr>
          <w:rFonts w:ascii="Times New Roman" w:cs="Times New Roman" w:eastAsia="Times New Roman" w:hAnsi="Times New Roman"/>
          <w:sz w:val="18"/>
          <w:szCs w:val="18"/>
          <w:color w:val="auto"/>
        </w:rPr>
      </w:pPr>
    </w:p>
    <w:p>
      <w:pPr>
        <w:jc w:val="both"/>
        <w:ind w:left="520" w:hanging="436"/>
        <w:spacing w:after="0" w:line="255" w:lineRule="auto"/>
        <w:tabs>
          <w:tab w:leader="none" w:pos="5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record preliminary estimated expense recognized, in accordance with IFRS 2, for the excess of the fair value of Pubco Ordinary Shares issued and the fair value of CAEP’s identifiable net assets at the date of the Business Combination, resulting in increase to share premium and decrease to retained earnings. The adjustments include a decrease to cash and cash equivalents and increase to trade and other payables for the payment of accrued transaction costs of $1.7 million. In addition, the adjustments include a decrease to cash and cash equivalents and increase to the IFRS 2 listing expense for estimated transaction costs accrued subsequent to December 31, 2025 by CAEP for legal, accounting, filing and other fees in connection with the Business Combination, as follows:</w:t>
      </w:r>
    </w:p>
    <w:p>
      <w:pPr>
        <w:spacing w:after="0" w:line="2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p>
      <w:pPr>
        <w:ind w:left="1580"/>
        <w:spacing w:after="0" w:line="212" w:lineRule="auto"/>
        <w:rPr>
          <w:sz w:val="20"/>
          <w:szCs w:val="20"/>
          <w:color w:val="auto"/>
        </w:rPr>
      </w:pPr>
      <w:r>
        <w:rPr>
          <w:rFonts w:ascii="Times New Roman" w:cs="Times New Roman" w:eastAsia="Times New Roman" w:hAnsi="Times New Roman"/>
          <w:sz w:val="18"/>
          <w:szCs w:val="18"/>
          <w:color w:val="auto"/>
        </w:rPr>
        <w:t>Fair value of Pubco Ordinary Shares</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8"/>
          <w:szCs w:val="18"/>
          <w:color w:val="auto"/>
        </w:rPr>
        <w:t>,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-137160</wp:posOffset>
            </wp:positionV>
            <wp:extent cx="3703320" cy="2743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3703320" cy="274320"/>
                    </a:xfrm>
                    <a:prstGeom prst="rect">
                      <a:avLst/>
                    </a:prstGeom>
                    <a:noFill/>
                  </pic:spPr>
                </pic:pic>
              </a:graphicData>
            </a:graphic>
          </wp:anchor>
        </w:drawing>
      </w:r>
    </w:p>
    <w:tbl>
      <w:tblPr>
        <w:tblLayout w:type="fixed"/>
        <w:tblInd w:w="1580" w:type="dxa"/>
        <w:tblCellMar>
          <w:top w:w="0" w:type="dxa"/>
          <w:left w:w="0" w:type="dxa"/>
          <w:bottom w:w="0" w:type="dxa"/>
          <w:right w:w="0" w:type="dxa"/>
        </w:tblCellMar>
      </w:tblPr>
      <w:tr>
        <w:trPr>
          <w:trHeight w:val="176"/>
        </w:trPr>
        <w:tc>
          <w:tcPr>
            <w:tcW w:w="4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Sponsor Earnout Shares</w:t>
            </w:r>
          </w:p>
        </w:tc>
        <w:tc>
          <w:tcPr>
            <w:tcW w:w="15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29,142</w:t>
            </w:r>
          </w:p>
        </w:tc>
        <w:tc>
          <w:tcPr>
            <w:tcW w:w="0" w:type="dxa"/>
            <w:vAlign w:val="bottom"/>
          </w:tcPr>
          <w:p>
            <w:pPr>
              <w:spacing w:after="0"/>
              <w:rPr>
                <w:sz w:val="1"/>
                <w:szCs w:val="1"/>
                <w:color w:val="auto"/>
              </w:rPr>
            </w:pPr>
          </w:p>
        </w:tc>
      </w:tr>
      <w:tr>
        <w:trPr>
          <w:trHeight w:val="254"/>
        </w:trPr>
        <w:tc>
          <w:tcPr>
            <w:tcW w:w="43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Fair value of Sponsor Earnout Shares</w:t>
            </w:r>
            <w:r>
              <w:rPr>
                <w:rFonts w:ascii="Times New Roman" w:cs="Times New Roman" w:eastAsia="Times New Roman" w:hAnsi="Times New Roman"/>
                <w:sz w:val="24"/>
                <w:szCs w:val="24"/>
                <w:color w:val="auto"/>
                <w:vertAlign w:val="superscript"/>
              </w:rPr>
              <w:t>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41,142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CAEP identifiable net assets</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CAEP transaction costs accrued subsequent to</w:t>
            </w: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(35,059)</w:t>
            </w:r>
          </w:p>
        </w:tc>
        <w:tc>
          <w:tcPr>
            <w:tcW w:w="0" w:type="dxa"/>
            <w:vAlign w:val="bottom"/>
          </w:tcPr>
          <w:p>
            <w:pPr>
              <w:spacing w:after="0"/>
              <w:rPr>
                <w:sz w:val="1"/>
                <w:szCs w:val="1"/>
                <w:color w:val="auto"/>
              </w:rPr>
            </w:pPr>
          </w:p>
        </w:tc>
      </w:tr>
      <w:tr>
        <w:trPr>
          <w:trHeight w:val="198"/>
        </w:trPr>
        <w:tc>
          <w:tcPr>
            <w:tcW w:w="4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CAEP Class A Ordinary Shares</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subject to redemption to equity</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Conversion of Sponsor Loan to CAEP Class A Ordinary</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Shares within equity</w:t>
            </w: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(38,358)</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IFRS 2 listing expense (reflected in retained earnings)</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-307975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-16510</wp:posOffset>
            </wp:positionV>
            <wp:extent cx="685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178" w:lineRule="exact"/>
        <w:rPr>
          <w:sz w:val="20"/>
          <w:szCs w:val="20"/>
          <w:color w:val="auto"/>
        </w:rPr>
      </w:pPr>
    </w:p>
    <w:p>
      <w:pPr>
        <w:jc w:val="both"/>
        <w:ind w:left="1040" w:hanging="438"/>
        <w:spacing w:after="0" w:line="266" w:lineRule="auto"/>
        <w:tabs>
          <w:tab w:leader="none" w:pos="10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Pubco Ordinary Shares issued was estimated based on a market price of $10.27 per share (as of March 24, 2026). The value is preliminary and will change based on fluctuations in the share price of CAEP Class A Ordinary Shares through the closing date.</w:t>
      </w:r>
    </w:p>
    <w:p>
      <w:pPr>
        <w:spacing w:after="0" w:line="67" w:lineRule="exact"/>
        <w:rPr>
          <w:rFonts w:ascii="Times New Roman" w:cs="Times New Roman" w:eastAsia="Times New Roman" w:hAnsi="Times New Roman"/>
          <w:sz w:val="18"/>
          <w:szCs w:val="18"/>
          <w:color w:val="auto"/>
        </w:rPr>
      </w:pPr>
    </w:p>
    <w:p>
      <w:pPr>
        <w:jc w:val="both"/>
        <w:ind w:left="1040" w:hanging="438"/>
        <w:spacing w:after="0" w:line="261" w:lineRule="auto"/>
        <w:tabs>
          <w:tab w:leader="none" w:pos="10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Sponsor Earnout Shares was estimated as of March 24, 2026 based on a per share value of $8.00, which was calculated using a Monte Carlo approach taking into account the Sponsor Earnout Conditions. The value is preliminary and will change based on fluctuations in the share price of the CAEP Class A Ordinary Shares common stock through the closing date.</w:t>
      </w:r>
    </w:p>
    <w:p>
      <w:pPr>
        <w:spacing w:after="0" w:line="71" w:lineRule="exact"/>
        <w:rPr>
          <w:rFonts w:ascii="Times New Roman" w:cs="Times New Roman" w:eastAsia="Times New Roman" w:hAnsi="Times New Roman"/>
          <w:sz w:val="18"/>
          <w:szCs w:val="18"/>
          <w:color w:val="auto"/>
        </w:rPr>
      </w:pPr>
    </w:p>
    <w:p>
      <w:pPr>
        <w:ind w:left="1040" w:hanging="438"/>
        <w:spacing w:after="0" w:line="282" w:lineRule="auto"/>
        <w:tabs>
          <w:tab w:leader="none" w:pos="104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 percent change in the fair values per share of CAEP Class A Ordinary Shares and Sponsor Earnout Shares would result in a change of $0.4 million in the estimated IFRS 2 expense.</w:t>
      </w:r>
    </w:p>
    <w:p>
      <w:pPr>
        <w:spacing w:after="0" w:line="53" w:lineRule="exact"/>
        <w:rPr>
          <w:rFonts w:ascii="Times New Roman" w:cs="Times New Roman" w:eastAsia="Times New Roman" w:hAnsi="Times New Roman"/>
          <w:sz w:val="18"/>
          <w:szCs w:val="18"/>
          <w:color w:val="auto"/>
        </w:rPr>
      </w:pPr>
    </w:p>
    <w:p>
      <w:pPr>
        <w:ind w:left="520" w:hanging="436"/>
        <w:spacing w:after="0" w:line="282"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22,373,640 Public Shares for aggregate redemption payments of $234.7 million. Substantially all of the redemptions were allocated to share premiums.</w:t>
      </w:r>
    </w:p>
    <w:p>
      <w:pPr>
        <w:spacing w:after="0" w:line="53" w:lineRule="exact"/>
        <w:rPr>
          <w:rFonts w:ascii="Times New Roman" w:cs="Times New Roman" w:eastAsia="Times New Roman" w:hAnsi="Times New Roman"/>
          <w:sz w:val="18"/>
          <w:szCs w:val="18"/>
          <w:color w:val="auto"/>
        </w:rPr>
      </w:pPr>
    </w:p>
    <w:p>
      <w:pPr>
        <w:jc w:val="both"/>
        <w:ind w:left="520" w:hanging="436"/>
        <w:spacing w:after="0" w:line="258"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the approximately $1.0 million Sponsor Loan, reflecting the balance as of the Business Combination date, through the issuance of 102,009 CAEP Class A Ordinary Shares based on a per share value of $10.00, with the difference settled in cash. The adjustment results in a decrease to note payable–related party and cash and cash equivalents of $311,783 and $8, respectively, and an increase to additional paid in capital, accumulated deficit, and CAEP Class A Ordinary Shares of $1.0 million, $708,315, and $10, respectively.</w:t>
      </w:r>
    </w:p>
    <w:p>
      <w:pPr>
        <w:spacing w:after="0" w:line="75" w:lineRule="exact"/>
        <w:rPr>
          <w:rFonts w:ascii="Times New Roman" w:cs="Times New Roman" w:eastAsia="Times New Roman" w:hAnsi="Times New Roman"/>
          <w:sz w:val="18"/>
          <w:szCs w:val="18"/>
          <w:color w:val="auto"/>
        </w:rPr>
      </w:pPr>
    </w:p>
    <w:p>
      <w:pPr>
        <w:ind w:left="520" w:hanging="436"/>
        <w:spacing w:after="0" w:line="282"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Pubco Top Up Awards, resulting in an increase in other reserve and decrease in retained earnings of $506 thousand.</w:t>
      </w:r>
    </w:p>
    <w:p>
      <w:pPr>
        <w:spacing w:after="0" w:line="53" w:lineRule="exact"/>
        <w:rPr>
          <w:rFonts w:ascii="Times New Roman" w:cs="Times New Roman" w:eastAsia="Times New Roman" w:hAnsi="Times New Roman"/>
          <w:sz w:val="18"/>
          <w:szCs w:val="18"/>
          <w:color w:val="auto"/>
        </w:rPr>
      </w:pPr>
    </w:p>
    <w:p>
      <w:pPr>
        <w:jc w:val="both"/>
        <w:ind w:left="520" w:hanging="436"/>
        <w:spacing w:after="0" w:line="266"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full amortization of historical prepaid expenses relating to the premium paid on CAEP’s D&amp;O insurance policy, resulting in a decrease in trade and other receivables of $70 thousand and a decrease in prepaid expenses of $145 thousand and an increase in accumulated deficit of $215 thousand.</w:t>
      </w:r>
    </w:p>
    <w:p>
      <w:pPr>
        <w:spacing w:after="0" w:line="67" w:lineRule="exact"/>
        <w:rPr>
          <w:rFonts w:ascii="Times New Roman" w:cs="Times New Roman" w:eastAsia="Times New Roman" w:hAnsi="Times New Roman"/>
          <w:sz w:val="18"/>
          <w:szCs w:val="18"/>
          <w:color w:val="auto"/>
        </w:rPr>
      </w:pPr>
    </w:p>
    <w:p>
      <w:pPr>
        <w:ind w:left="520" w:hanging="436"/>
        <w:spacing w:after="0" w:line="282"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payment of outstanding payables of CAEP, resulting in a decrease in cash and cash equivalents and trade and other payables of approximately $68 thousand.</w:t>
      </w:r>
    </w:p>
    <w:p>
      <w:pPr>
        <w:spacing w:after="0" w:line="161" w:lineRule="exact"/>
        <w:rPr>
          <w:rFonts w:ascii="Times New Roman" w:cs="Times New Roman" w:eastAsia="Times New Roman" w:hAnsi="Times New Roman"/>
          <w:sz w:val="18"/>
          <w:szCs w:val="18"/>
          <w:color w:val="auto"/>
        </w:rPr>
      </w:pPr>
    </w:p>
    <w:p>
      <w:pPr>
        <w:ind w:left="520" w:hanging="436"/>
        <w:spacing w:after="0" w:line="282" w:lineRule="auto"/>
        <w:tabs>
          <w:tab w:leader="none" w:pos="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Forward Purchase Agreement, resulting in the recognition of treasury shares of $52.4 million thousand and a decrease to cash and cash equivalents of $52.4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581660</wp:posOffset>
            </wp:positionV>
            <wp:extent cx="703770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60"/>
          </w:cols>
          <w:pgMar w:left="1440" w:top="1093" w:right="1099" w:bottom="1440" w:gutter="0" w:footer="0" w:header="0"/>
        </w:sectPr>
      </w:pPr>
    </w:p>
    <w:bookmarkStart w:id="157" w:name="page158"/>
    <w:bookmarkEnd w:id="157"/>
    <w:p>
      <w:pPr>
        <w:ind w:firstLine="441"/>
        <w:spacing w:after="0" w:line="282" w:lineRule="auto"/>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 of comprehensive income for the year ended December 31, 2025 are as follows:</w:t>
      </w:r>
    </w:p>
    <w:p>
      <w:pPr>
        <w:spacing w:after="0" w:line="54" w:lineRule="exact"/>
        <w:rPr>
          <w:sz w:val="20"/>
          <w:szCs w:val="20"/>
          <w:color w:val="auto"/>
        </w:rPr>
      </w:pPr>
    </w:p>
    <w:p>
      <w:pPr>
        <w:jc w:val="both"/>
        <w:ind w:left="880" w:hanging="436"/>
        <w:spacing w:after="0" w:line="266"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transaction costs of $9.6 million incurred by AIR as part of the Business Combination as described in (B). These costs are a nonrecurring item. The transaction costs incurred by CAEP have been considered in the IFRS 2 listing expense in adjustment (DD) below.</w:t>
      </w:r>
    </w:p>
    <w:p>
      <w:pPr>
        <w:spacing w:after="0" w:line="67"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CAEP’s administrative expenses paid to the Sponsor that will be ceased upon closing of the Business Combination.</w:t>
      </w:r>
    </w:p>
    <w:p>
      <w:pPr>
        <w:spacing w:after="0" w:line="5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income on investments held in the Trust Account recognized in 2025.</w:t>
      </w:r>
    </w:p>
    <w:p>
      <w:pPr>
        <w:spacing w:after="0" w:line="117" w:lineRule="exact"/>
        <w:rPr>
          <w:rFonts w:ascii="Times New Roman" w:cs="Times New Roman" w:eastAsia="Times New Roman" w:hAnsi="Times New Roman"/>
          <w:sz w:val="18"/>
          <w:szCs w:val="18"/>
          <w:color w:val="auto"/>
        </w:rPr>
      </w:pPr>
    </w:p>
    <w:p>
      <w:pPr>
        <w:jc w:val="both"/>
        <w:ind w:left="880" w:hanging="436"/>
        <w:spacing w:after="0" w:line="261"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recognize a $79.5 million listing expense recognized in accordance with IFRS 2, for the difference between the total fair value of Pubco Ordinary Shares and Sponsor Earnout Shares issued and the fair value of CAEP’s identifiable net assets adjusted forthe estimated transaction costs incurred by CAEP, as described in (I). Includes $35.1 million in estimated transaction costs to be incurred by CAEP. These costs are a nonrecurring item.</w:t>
      </w:r>
    </w:p>
    <w:p>
      <w:pPr>
        <w:spacing w:after="0" w:line="71"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payment expense to be recognized with respect to the vesting of Pubco Top Up Awards and Pubco Earnout RSUs. This cost is a nonrecurring item.</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amortization expense of prepaid expenses relating to CAEP’s D&amp;O policy and Nasdaq annual fees. This cost is a nonrecurring item.</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realization of the unrealized appreciation of available-for-sale debt securities and the elimination of the realized gain.</w:t>
      </w:r>
    </w:p>
    <w:p>
      <w:pPr>
        <w:spacing w:after="0" w:line="53"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expenses incurred that were paid through the issuance of a Sponsor Loan after December 31, 2025 through the date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Net Loss Per Share</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pro forma net loss per share is calculated using the historical weighted average shares outstanding, and the issuance of additional shares in connection with the Business Combination and related transactions, assuming the shares were outstanding since January 1, 2025.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 If the maximum number of Public Shares are redeemed, this calculation is retroactively adjusted to eliminate such shares for the entire period.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net loss per share – basic and diluted has been calculated as follows:</w:t>
      </w:r>
    </w:p>
    <w:p>
      <w:pPr>
        <w:spacing w:after="0" w:line="219" w:lineRule="exact"/>
        <w:rPr>
          <w:sz w:val="20"/>
          <w:szCs w:val="20"/>
          <w:color w:val="auto"/>
        </w:rPr>
      </w:pPr>
    </w:p>
    <w:tbl>
      <w:tblPr>
        <w:tblLayout w:type="fixed"/>
        <w:tblInd w:w="1940" w:type="dxa"/>
        <w:tblCellMar>
          <w:top w:w="0" w:type="dxa"/>
          <w:left w:w="0" w:type="dxa"/>
          <w:bottom w:w="0" w:type="dxa"/>
          <w:right w:w="0" w:type="dxa"/>
        </w:tblCellMar>
      </w:tblPr>
      <w:tr>
        <w:trPr>
          <w:trHeight w:val="187"/>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 thousands</w:t>
            </w:r>
          </w:p>
        </w:tc>
        <w:tc>
          <w:tcPr>
            <w:tcW w:w="2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55"/>
        </w:trPr>
        <w:tc>
          <w:tcPr>
            <w:tcW w:w="420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(Except share and per share data)</w:t>
            </w:r>
          </w:p>
        </w:tc>
        <w:tc>
          <w:tcPr>
            <w:tcW w:w="200" w:type="dxa"/>
            <w:vAlign w:val="bottom"/>
          </w:tcPr>
          <w:p>
            <w:pPr>
              <w:spacing w:after="0"/>
              <w:rPr>
                <w:sz w:val="13"/>
                <w:szCs w:val="13"/>
                <w:color w:val="auto"/>
              </w:rPr>
            </w:pPr>
          </w:p>
        </w:tc>
        <w:tc>
          <w:tcPr>
            <w:tcW w:w="13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3"/>
                <w:szCs w:val="13"/>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 forma net loss for the year</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(43,156)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146,697,185</w:t>
            </w:r>
          </w:p>
        </w:tc>
      </w:tr>
      <w:tr>
        <w:trPr>
          <w:trHeight w:val="216"/>
        </w:trPr>
        <w:tc>
          <w:tcPr>
            <w:tcW w:w="4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Net loss per share – basic and diluted</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r>
      <w:tr>
        <w:trPr>
          <w:trHeight w:val="194"/>
        </w:trPr>
        <w:tc>
          <w:tcPr>
            <w:tcW w:w="42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shares outstanding – basic and</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Public Shareholders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226,360</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2,682,009</w:t>
            </w:r>
          </w:p>
        </w:tc>
      </w:tr>
      <w:tr>
        <w:trPr>
          <w:trHeight w:val="216"/>
        </w:trPr>
        <w:tc>
          <w:tcPr>
            <w:tcW w:w="4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AIR Shareholders (excluding the Kingsway Holders)</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51,022,739</w:t>
            </w:r>
          </w:p>
        </w:tc>
      </w:tr>
      <w:tr>
        <w:trPr>
          <w:trHeight w:val="216"/>
        </w:trPr>
        <w:tc>
          <w:tcPr>
            <w:tcW w:w="4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The Kingsway Holders</w:t>
            </w:r>
            <w:r>
              <w:rPr>
                <w:rFonts w:ascii="Times New Roman" w:cs="Times New Roman" w:eastAsia="Times New Roman" w:hAnsi="Times New Roman"/>
                <w:sz w:val="24"/>
                <w:szCs w:val="24"/>
                <w:color w:val="auto"/>
                <w:vertAlign w:val="superscript"/>
              </w:rPr>
              <w:t>(5)</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92,766,077</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146,697,185</w:t>
            </w:r>
          </w:p>
        </w:tc>
      </w:tr>
    </w:tbl>
    <w:p>
      <w:pPr>
        <w:spacing w:after="0" w:line="198" w:lineRule="exact"/>
        <w:rPr>
          <w:sz w:val="20"/>
          <w:szCs w:val="20"/>
          <w:color w:val="auto"/>
        </w:rPr>
      </w:pPr>
    </w:p>
    <w:p>
      <w:pPr>
        <w:jc w:val="both"/>
        <w:ind w:left="440" w:hanging="436"/>
        <w:spacing w:after="0" w:line="256" w:lineRule="auto"/>
        <w:tabs>
          <w:tab w:leader="none" w:pos="4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diluted net loss per share, all 1,871,846 Pubco Ordinary Shares issuable on exercise or settlement of the Assumed Conditional Awards and the Incentive Plan should have been assumed to be exercised. This amount does not include Pubco Ordinary Shares to be issued under the Retention Awards, which should have also been assumed to be exercised. However, since the Pubco Ordinary Shares issuable on exercise or settlement of the Assumed Conditional Awards, Incentive Plan and Pubco Retention Awards results in anti-dilution, the effect of such exercise was not included in the calculation of diluted earnings per share.</w:t>
      </w:r>
    </w:p>
    <w:p>
      <w:pPr>
        <w:spacing w:after="0" w:line="79" w:lineRule="exact"/>
        <w:rPr>
          <w:rFonts w:ascii="Times New Roman" w:cs="Times New Roman" w:eastAsia="Times New Roman" w:hAnsi="Times New Roman"/>
          <w:sz w:val="18"/>
          <w:szCs w:val="18"/>
          <w:color w:val="auto"/>
        </w:rPr>
      </w:pPr>
    </w:p>
    <w:p>
      <w:pPr>
        <w:ind w:left="440" w:hanging="436"/>
        <w:spacing w:after="0" w:line="282" w:lineRule="auto"/>
        <w:tabs>
          <w:tab w:leader="none" w:pos="4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basic net loss per share, all 5,000,000 shares subject to the Forward Purchase Agreement have been excluded as these are contingently returnable and hence not considered from an IAS 33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581660</wp:posOffset>
            </wp:positionV>
            <wp:extent cx="70377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158" w:name="page159"/>
    <w:bookmarkEnd w:id="158"/>
    <w:p>
      <w:pPr>
        <w:jc w:val="both"/>
        <w:ind w:left="436" w:hanging="436"/>
        <w:spacing w:after="0" w:line="266" w:lineRule="auto"/>
        <w:tabs>
          <w:tab w:leader="none" w:pos="4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basic net loss per share, all 1,500,000 Sponsor Earnout Shares are excluded as these shares will be forfeited by the Sponsor and cancelled for no consideration if the Sponsor Earnout Conditions are not met. In addition, these shares are excluded from the calculation of diluted net loss per share as the effect of these shares are anti-dilutive.</w:t>
      </w:r>
    </w:p>
    <w:p>
      <w:pPr>
        <w:spacing w:after="0" w:line="67" w:lineRule="exact"/>
        <w:rPr>
          <w:rFonts w:ascii="Times New Roman" w:cs="Times New Roman" w:eastAsia="Times New Roman" w:hAnsi="Times New Roman"/>
          <w:sz w:val="18"/>
          <w:szCs w:val="18"/>
          <w:color w:val="auto"/>
        </w:rPr>
      </w:pPr>
    </w:p>
    <w:p>
      <w:pPr>
        <w:jc w:val="both"/>
        <w:ind w:left="436" w:hanging="436"/>
        <w:spacing w:after="0" w:line="261" w:lineRule="auto"/>
        <w:tabs>
          <w:tab w:leader="none" w:pos="4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basic net loss per share, 2,551,115 AIR Earnout Shares (excluding the Company Earnout Shares issued to Kingsway Holders) are excluded as these shares will be forfeited by the AIR Shareholders and cancelled for no consideration if the AIR Earnout Conditions are not met. In addition, these AIR Earnout Shares are excluded from the calculation of diluted net loss per share as the effect of these shares are anti-dilutive.</w:t>
      </w:r>
    </w:p>
    <w:p>
      <w:pPr>
        <w:spacing w:after="0" w:line="71" w:lineRule="exact"/>
        <w:rPr>
          <w:rFonts w:ascii="Times New Roman" w:cs="Times New Roman" w:eastAsia="Times New Roman" w:hAnsi="Times New Roman"/>
          <w:sz w:val="18"/>
          <w:szCs w:val="18"/>
          <w:color w:val="auto"/>
        </w:rPr>
      </w:pPr>
    </w:p>
    <w:p>
      <w:pPr>
        <w:jc w:val="both"/>
        <w:ind w:left="436" w:hanging="436"/>
        <w:spacing w:after="0" w:line="261" w:lineRule="auto"/>
        <w:tabs>
          <w:tab w:leader="none" w:pos="4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basic net loss per share, 4,638,302 AIR Earnout Shares issued to Kingsway Holders are excluded as these shares will be forfeited by the Kingsway Holders and cancelled for no consideration if the AIR Earnout Conditions are not met. In addition, these AIR Earnout Shares are excluded from the calculation of diluted net loss per share as the effect of these shares are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593090</wp:posOffset>
            </wp:positionV>
            <wp:extent cx="703770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6"/>
          </w:cols>
          <w:pgMar w:left="1084" w:top="1093" w:right="1099" w:bottom="1440" w:gutter="0" w:footer="0" w:header="0"/>
        </w:sectPr>
      </w:pPr>
    </w:p>
    <w:bookmarkStart w:id="159" w:name="page160"/>
    <w:bookmarkEnd w:id="159"/>
    <w:p>
      <w:pPr>
        <w:ind w:left="7520"/>
        <w:spacing w:after="0"/>
        <w:rPr>
          <w:sz w:val="20"/>
          <w:szCs w:val="20"/>
          <w:color w:val="auto"/>
        </w:rPr>
      </w:pPr>
      <w:r>
        <w:rPr>
          <w:rFonts w:ascii="Arial" w:cs="Arial" w:eastAsia="Arial" w:hAnsi="Arial"/>
          <w:sz w:val="21"/>
          <w:szCs w:val="21"/>
          <w:b w:val="1"/>
          <w:bCs w:val="1"/>
          <w:color w:val="auto"/>
        </w:rPr>
        <w:t>Exhibit 15.2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6" w:lineRule="exact"/>
        <w:rPr>
          <w:sz w:val="20"/>
          <w:szCs w:val="20"/>
          <w:color w:val="auto"/>
        </w:rPr>
      </w:pPr>
    </w:p>
    <w:p>
      <w:pPr>
        <w:ind w:left="300" w:right="339"/>
        <w:spacing w:after="0" w:line="236" w:lineRule="auto"/>
        <w:rPr>
          <w:sz w:val="20"/>
          <w:szCs w:val="20"/>
          <w:color w:val="auto"/>
        </w:rPr>
      </w:pPr>
      <w:r>
        <w:rPr>
          <w:rFonts w:ascii="Arial" w:cs="Arial" w:eastAsia="Arial" w:hAnsi="Arial"/>
          <w:sz w:val="22"/>
          <w:szCs w:val="22"/>
          <w:color w:val="auto"/>
        </w:rPr>
        <w:t>We hereby consent to the incorporation by reference in this Report on Form 20-F of AIR Global PLC (formerly “AIR Holdings Limited”) of our report dated March 27, 2026 relating to the financial statements of AIR Holdings Limited, which appears in AIR Holdings Limited's Registration Statement on Form F-4 (File No. 333-294714). We also consent to the reference to us under the heading “Statement by Experts” in this Report on Form 20-F.</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 PricewaterhouseCoopers Limited Partnership Dubai Branch</w:t>
      </w:r>
    </w:p>
    <w:p>
      <w:pPr>
        <w:ind w:left="300"/>
        <w:spacing w:after="0"/>
        <w:rPr>
          <w:sz w:val="20"/>
          <w:szCs w:val="20"/>
          <w:color w:val="auto"/>
        </w:rPr>
      </w:pPr>
      <w:r>
        <w:rPr>
          <w:rFonts w:ascii="Arial" w:cs="Arial" w:eastAsia="Arial" w:hAnsi="Arial"/>
          <w:sz w:val="22"/>
          <w:szCs w:val="22"/>
          <w:color w:val="auto"/>
        </w:rPr>
        <w:t>Dubai, United Arab Emirates</w:t>
      </w:r>
    </w:p>
    <w:p>
      <w:pPr>
        <w:ind w:left="300"/>
        <w:spacing w:after="0"/>
        <w:rPr>
          <w:sz w:val="20"/>
          <w:szCs w:val="20"/>
          <w:color w:val="auto"/>
        </w:rPr>
      </w:pPr>
      <w:r>
        <w:rPr>
          <w:rFonts w:ascii="Arial" w:cs="Arial" w:eastAsia="Arial" w:hAnsi="Arial"/>
          <w:sz w:val="22"/>
          <w:szCs w:val="22"/>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876935</wp:posOffset>
            </wp:positionV>
            <wp:extent cx="70377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160" w:name="page161"/>
    <w:bookmarkEnd w:id="160"/>
    <w:p>
      <w:pPr>
        <w:ind w:left="7520"/>
        <w:spacing w:after="0"/>
        <w:rPr>
          <w:sz w:val="20"/>
          <w:szCs w:val="20"/>
          <w:color w:val="auto"/>
        </w:rPr>
      </w:pPr>
      <w:r>
        <w:rPr>
          <w:rFonts w:ascii="Arial" w:cs="Arial" w:eastAsia="Arial" w:hAnsi="Arial"/>
          <w:sz w:val="21"/>
          <w:szCs w:val="21"/>
          <w:b w:val="1"/>
          <w:bCs w:val="1"/>
          <w:color w:val="auto"/>
        </w:rPr>
        <w:t>Exhibit 15.3</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6" w:lineRule="exact"/>
        <w:rPr>
          <w:sz w:val="20"/>
          <w:szCs w:val="20"/>
          <w:color w:val="auto"/>
        </w:rPr>
      </w:pPr>
    </w:p>
    <w:p>
      <w:pPr>
        <w:ind w:left="300" w:right="339"/>
        <w:spacing w:after="0" w:line="236" w:lineRule="auto"/>
        <w:rPr>
          <w:sz w:val="20"/>
          <w:szCs w:val="20"/>
          <w:color w:val="auto"/>
        </w:rPr>
      </w:pPr>
      <w:r>
        <w:rPr>
          <w:rFonts w:ascii="Arial" w:cs="Arial" w:eastAsia="Arial" w:hAnsi="Arial"/>
          <w:sz w:val="22"/>
          <w:szCs w:val="22"/>
          <w:color w:val="auto"/>
        </w:rPr>
        <w:t>We hereby consent to the incorporation by reference in this Report on Form 20-F of AIR Global PLC (formerly “AIR Holdings Limited”) of our report dated March 27, 2026 relating to the financial statements of AIR Limited, which appears in AIR Holdings Limited's Registration Statement on Form F-4 (File No. 333-294714). We also consent to the reference to us under the heading “Statement by Experts” in this Report on Form 20-F.</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 PricewaterhouseCoopers Limited Partnership Dubai Branch</w:t>
      </w:r>
    </w:p>
    <w:p>
      <w:pPr>
        <w:ind w:left="300"/>
        <w:spacing w:after="0"/>
        <w:rPr>
          <w:sz w:val="20"/>
          <w:szCs w:val="20"/>
          <w:color w:val="auto"/>
        </w:rPr>
      </w:pPr>
      <w:r>
        <w:rPr>
          <w:rFonts w:ascii="Arial" w:cs="Arial" w:eastAsia="Arial" w:hAnsi="Arial"/>
          <w:sz w:val="22"/>
          <w:szCs w:val="22"/>
          <w:color w:val="auto"/>
        </w:rPr>
        <w:t>Dubai, United Arab Emirates</w:t>
      </w:r>
    </w:p>
    <w:p>
      <w:pPr>
        <w:ind w:left="300"/>
        <w:spacing w:after="0"/>
        <w:rPr>
          <w:sz w:val="20"/>
          <w:szCs w:val="20"/>
          <w:color w:val="auto"/>
        </w:rPr>
      </w:pPr>
      <w:r>
        <w:rPr>
          <w:rFonts w:ascii="Arial" w:cs="Arial" w:eastAsia="Arial" w:hAnsi="Arial"/>
          <w:sz w:val="22"/>
          <w:szCs w:val="22"/>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876935</wp:posOffset>
            </wp:positionV>
            <wp:extent cx="703770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161" w:name="page162"/>
    <w:bookmarkEnd w:id="161"/>
    <w:p>
      <w:pPr>
        <w:jc w:val="right"/>
        <w:ind w:right="299"/>
        <w:spacing w:after="0"/>
        <w:rPr>
          <w:sz w:val="20"/>
          <w:szCs w:val="20"/>
          <w:color w:val="auto"/>
        </w:rPr>
      </w:pPr>
      <w:r>
        <w:rPr>
          <w:rFonts w:ascii="Arial" w:cs="Arial" w:eastAsia="Arial" w:hAnsi="Arial"/>
          <w:sz w:val="18"/>
          <w:szCs w:val="18"/>
          <w:b w:val="1"/>
          <w:bCs w:val="1"/>
          <w:color w:val="auto"/>
        </w:rPr>
        <w:t>Exhibit 15.4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We hereby consent to the incorporation by reference in this Form 20-F of our report dated March 16, 2026, relating to the financial statements of Cantor Equity Partners III, Inc., as of December 31, 2025 and 2024 and for the years then ended. We also consent to the reference to our firm under the caption “Statement of Experts”.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WithumSmith+Brown, PC</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6628765</wp:posOffset>
            </wp:positionV>
            <wp:extent cx="70377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
      <w:numFmt w:val="bullet"/>
      <w:start w:val="1"/>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
      <w:numFmt w:val="bullet"/>
      <w:start w:val="1"/>
    </w:lvl>
  </w:abstractNum>
  <w:abstractNum w:abstractNumId="5">
    <w:nsid w:val="94211F2"/>
    <w:multiLevelType w:val="hybridMultilevel"/>
    <w:lvl w:ilvl="0">
      <w:lvlJc w:val="left"/>
      <w:lvlText w:val="•"/>
      <w:numFmt w:val="bullet"/>
      <w:start w:val="1"/>
    </w:lvl>
  </w:abstractNum>
  <w:abstractNum w:abstractNumId="6">
    <w:nsid w:val="885E1B"/>
    <w:multiLevelType w:val="hybridMultilevel"/>
    <w:lvl w:ilvl="0">
      <w:lvlJc w:val="left"/>
      <w:lvlText w:val="(%1)"/>
      <w:numFmt w:val="lowerRoman"/>
      <w:start w:val="1"/>
    </w:lvl>
    <w:lvl w:ilvl="1">
      <w:lvlJc w:val="left"/>
      <w:lvlText w:val="•"/>
      <w:numFmt w:val="bullet"/>
      <w:start w:val="1"/>
    </w:lvl>
  </w:abstractNum>
  <w:abstractNum w:abstractNumId="7">
    <w:nsid w:val="76272110"/>
    <w:multiLevelType w:val="hybridMultilevel"/>
    <w:lvl w:ilvl="0">
      <w:lvlJc w:val="left"/>
      <w:lvlText w:val="•"/>
      <w:numFmt w:val="bullet"/>
      <w:start w:val="1"/>
    </w:lvl>
  </w:abstractNum>
  <w:abstractNum w:abstractNumId="8">
    <w:nsid w:val="4C04A8AF"/>
    <w:multiLevelType w:val="hybridMultilevel"/>
    <w:lvl w:ilvl="0">
      <w:lvlJc w:val="left"/>
      <w:lvlText w:val="%1."/>
      <w:numFmt w:val="upperLetter"/>
      <w:start w:val="1"/>
    </w:lvl>
  </w:abstractNum>
  <w:abstractNum w:abstractNumId="9">
    <w:nsid w:val="1716703B"/>
    <w:multiLevelType w:val="hybridMultilevel"/>
    <w:lvl w:ilvl="0">
      <w:lvlJc w:val="left"/>
      <w:lvlText w:val="•"/>
      <w:numFmt w:val="bullet"/>
      <w:start w:val="1"/>
    </w:lvl>
  </w:abstractNum>
  <w:abstractNum w:abstractNumId="10">
    <w:nsid w:val="14E17E33"/>
    <w:multiLevelType w:val="hybridMultilevel"/>
    <w:lvl w:ilvl="0">
      <w:lvlJc w:val="left"/>
      <w:lvlText w:val="*"/>
      <w:numFmt w:val="bullet"/>
      <w:start w:val="1"/>
    </w:lvl>
  </w:abstractNum>
  <w:abstractNum w:abstractNumId="11">
    <w:nsid w:val="3222E7CD"/>
    <w:multiLevelType w:val="hybridMultilevel"/>
    <w:lvl w:ilvl="0">
      <w:lvlJc w:val="left"/>
      <w:lvlText w:val="(%1)"/>
      <w:numFmt w:val="decimal"/>
      <w:start w:val="1"/>
    </w:lvl>
  </w:abstractNum>
  <w:abstractNum w:abstractNumId="12">
    <w:nsid w:val="74DE0EE3"/>
    <w:multiLevelType w:val="hybridMultilevel"/>
    <w:lvl w:ilvl="0">
      <w:lvlJc w:val="left"/>
      <w:lvlText w:val="(%1)"/>
      <w:numFmt w:val="decimal"/>
      <w:start w:val="4"/>
    </w:lvl>
    <w:lvl w:ilvl="1">
      <w:lvlJc w:val="left"/>
      <w:lvlText w:val="(%2)"/>
      <w:numFmt w:val="lowerRoman"/>
      <w:start w:val="5"/>
    </w:lvl>
  </w:abstractNum>
  <w:abstractNum w:abstractNumId="13">
    <w:nsid w:val="68EBC550"/>
    <w:multiLevelType w:val="hybridMultilevel"/>
    <w:lvl w:ilvl="0">
      <w:lvlJc w:val="left"/>
      <w:lvlText w:val="1"/>
      <w:numFmt w:val="bullet"/>
      <w:start w:val="1"/>
    </w:lvl>
  </w:abstractNum>
  <w:abstractNum w:abstractNumId="14">
    <w:nsid w:val="2DF6D648"/>
    <w:multiLevelType w:val="hybridMultilevel"/>
    <w:lvl w:ilvl="0">
      <w:lvlJc w:val="left"/>
      <w:lvlText w:val="%1."/>
      <w:numFmt w:val="upperLetter"/>
      <w:start w:val="9"/>
    </w:lvl>
  </w:abstractNum>
  <w:abstractNum w:abstractNumId="15">
    <w:nsid w:val="46B7D447"/>
    <w:multiLevelType w:val="hybridMultilevel"/>
    <w:lvl w:ilvl="0">
      <w:lvlJc w:val="left"/>
      <w:lvlText w:val="%1."/>
      <w:numFmt w:val="upperLetter"/>
      <w:start w:val="10"/>
    </w:lvl>
  </w:abstractNum>
  <w:abstractNum w:abstractNumId="16">
    <w:nsid w:val="4A2AC315"/>
    <w:multiLevelType w:val="hybridMultilevel"/>
    <w:lvl w:ilvl="0">
      <w:lvlJc w:val="left"/>
      <w:lvlText w:val="(†)"/>
      <w:numFmt w:val="bullet"/>
      <w:start w:val="1"/>
    </w:lvl>
  </w:abstractNum>
  <w:abstractNum w:abstractNumId="17">
    <w:nsid w:val="39EE015C"/>
    <w:multiLevelType w:val="hybridMultilevel"/>
    <w:lvl w:ilvl="0">
      <w:lvlJc w:val="left"/>
      <w:lvlText w:val="%1."/>
      <w:numFmt w:val="decimal"/>
      <w:start w:val="1"/>
    </w:lvl>
  </w:abstractNum>
  <w:abstractNum w:abstractNumId="18">
    <w:nsid w:val="57FC4FBB"/>
    <w:multiLevelType w:val="hybridMultilevel"/>
    <w:lvl w:ilvl="0">
      <w:lvlJc w:val="left"/>
      <w:lvlText w:val="%1."/>
      <w:numFmt w:val="decimal"/>
      <w:start w:val="6"/>
    </w:lvl>
  </w:abstractNum>
  <w:abstractNum w:abstractNumId="19">
    <w:nsid w:val="CC1016F"/>
    <w:multiLevelType w:val="hybridMultilevel"/>
    <w:lvl w:ilvl="0">
      <w:lvlJc w:val="left"/>
      <w:lvlText w:val="%1."/>
      <w:numFmt w:val="decimal"/>
      <w:start w:val="7"/>
    </w:lvl>
    <w:lvl w:ilvl="1">
      <w:lvlJc w:val="left"/>
      <w:lvlText w:val="(%2)"/>
      <w:numFmt w:val="lowerLetter"/>
      <w:start w:val="1"/>
    </w:lvl>
  </w:abstractNum>
  <w:abstractNum w:abstractNumId="20">
    <w:nsid w:val="43F18422"/>
    <w:multiLevelType w:val="hybridMultilevel"/>
    <w:lvl w:ilvl="0">
      <w:lvlJc w:val="left"/>
      <w:lvlText w:val="(%1)"/>
      <w:numFmt w:val="lowerLetter"/>
      <w:start w:val="3"/>
    </w:lvl>
  </w:abstractNum>
  <w:abstractNum w:abstractNumId="21">
    <w:nsid w:val="60EF0119"/>
    <w:multiLevelType w:val="hybridMultilevel"/>
    <w:lvl w:ilvl="0">
      <w:lvlJc w:val="left"/>
      <w:lvlText w:val="%1."/>
      <w:numFmt w:val="decimal"/>
      <w:start w:val="8"/>
    </w:lvl>
  </w:abstractNum>
  <w:abstractNum w:abstractNumId="22">
    <w:nsid w:val="26F324BA"/>
    <w:multiLevelType w:val="hybridMultilevel"/>
    <w:lvl w:ilvl="0">
      <w:lvlJc w:val="left"/>
      <w:lvlText w:val="%1."/>
      <w:numFmt w:val="decimal"/>
      <w:start w:val="9"/>
    </w:lvl>
  </w:abstractNum>
  <w:abstractNum w:abstractNumId="23">
    <w:nsid w:val="7F01579B"/>
    <w:multiLevelType w:val="hybridMultilevel"/>
    <w:lvl w:ilvl="0">
      <w:lvlJc w:val="left"/>
      <w:lvlText w:val="%1."/>
      <w:numFmt w:val="decimal"/>
      <w:start w:val="10"/>
    </w:lvl>
  </w:abstractNum>
  <w:abstractNum w:abstractNumId="24">
    <w:nsid w:val="49DA307D"/>
    <w:multiLevelType w:val="hybridMultilevel"/>
    <w:lvl w:ilvl="0">
      <w:lvlJc w:val="left"/>
      <w:lvlText w:val="%1."/>
      <w:numFmt w:val="decimal"/>
      <w:start w:val="13"/>
    </w:lvl>
    <w:lvl w:ilvl="1">
      <w:lvlJc w:val="left"/>
      <w:lvlText w:val="(%2)"/>
      <w:numFmt w:val="lowerLetter"/>
      <w:start w:val="1"/>
    </w:lvl>
  </w:abstractNum>
  <w:abstractNum w:abstractNumId="25">
    <w:nsid w:val="7055A5F5"/>
    <w:multiLevelType w:val="hybridMultilevel"/>
    <w:lvl w:ilvl="0">
      <w:lvlJc w:val="left"/>
      <w:lvlText w:val="%1."/>
      <w:numFmt w:val="decimal"/>
      <w:start w:val="21"/>
    </w:lvl>
  </w:abstractNum>
  <w:abstractNum w:abstractNumId="26">
    <w:nsid w:val="5FB8370B"/>
    <w:multiLevelType w:val="hybridMultilevel"/>
    <w:lvl w:ilvl="0">
      <w:lvlJc w:val="left"/>
      <w:lvlText w:val="%1."/>
      <w:numFmt w:val="decimal"/>
      <w:start w:val="22"/>
    </w:lvl>
    <w:lvl w:ilvl="1">
      <w:lvlJc w:val="left"/>
      <w:lvlText w:val="(%2)"/>
      <w:numFmt w:val="lowerLetter"/>
      <w:start w:val="1"/>
    </w:lvl>
  </w:abstractNum>
  <w:abstractNum w:abstractNumId="27">
    <w:nsid w:val="50801EE1"/>
    <w:multiLevelType w:val="hybridMultilevel"/>
    <w:lvl w:ilvl="0">
      <w:lvlJc w:val="left"/>
      <w:lvlText w:val="%1."/>
      <w:numFmt w:val="decimal"/>
      <w:start w:val="25"/>
    </w:lvl>
    <w:lvl w:ilvl="1">
      <w:lvlJc w:val="left"/>
      <w:lvlText w:val="(%2)"/>
      <w:numFmt w:val="lowerLetter"/>
      <w:start w:val="1"/>
    </w:lvl>
  </w:abstractNum>
  <w:abstractNum w:abstractNumId="28">
    <w:nsid w:val="488AC1A"/>
    <w:multiLevelType w:val="hybridMultilevel"/>
    <w:lvl w:ilvl="0">
      <w:lvlJc w:val="left"/>
      <w:lvlText w:val="%1"/>
      <w:numFmt w:val="decimal"/>
      <w:start w:val="1"/>
    </w:lvl>
    <w:lvl w:ilvl="1">
      <w:lvlJc w:val="left"/>
      <w:lvlText w:val="(%2)"/>
      <w:numFmt w:val="lowerLetter"/>
      <w:start w:val="6"/>
    </w:lvl>
  </w:abstractNum>
  <w:abstractNum w:abstractNumId="29">
    <w:nsid w:val="5FB8011C"/>
    <w:multiLevelType w:val="hybridMultilevel"/>
    <w:lvl w:ilvl="0">
      <w:lvlJc w:val="left"/>
      <w:lvlText w:val="%1."/>
      <w:numFmt w:val="decimal"/>
      <w:start w:val="27"/>
    </w:lvl>
    <w:lvl w:ilvl="1">
      <w:lvlJc w:val="left"/>
      <w:lvlText w:val="(%2)"/>
      <w:numFmt w:val="lowerLetter"/>
      <w:start w:val="1"/>
    </w:lvl>
  </w:abstractNum>
  <w:abstractNum w:abstractNumId="30">
    <w:nsid w:val="6AA78F7F"/>
    <w:multiLevelType w:val="hybridMultilevel"/>
    <w:lvl w:ilvl="0">
      <w:lvlJc w:val="left"/>
      <w:lvlText w:val="%1."/>
      <w:numFmt w:val="decimal"/>
      <w:start w:val="28"/>
    </w:lvl>
  </w:abstractNum>
  <w:abstractNum w:abstractNumId="31">
    <w:nsid w:val="7672BD23"/>
    <w:multiLevelType w:val="hybridMultilevel"/>
    <w:lvl w:ilvl="0">
      <w:lvlJc w:val="left"/>
      <w:lvlText w:val="%1."/>
      <w:numFmt w:val="decimal"/>
      <w:start w:val="29"/>
    </w:lvl>
    <w:lvl w:ilvl="1">
      <w:lvlJc w:val="left"/>
      <w:lvlText w:val="(%2)"/>
      <w:numFmt w:val="lowerLetter"/>
      <w:start w:val="1"/>
    </w:lvl>
  </w:abstractNum>
  <w:abstractNum w:abstractNumId="32">
    <w:nsid w:val="6FC75AF8"/>
    <w:multiLevelType w:val="hybridMultilevel"/>
    <w:lvl w:ilvl="0">
      <w:lvlJc w:val="left"/>
      <w:lvlText w:val="%1."/>
      <w:numFmt w:val="decimal"/>
      <w:start w:val="30"/>
    </w:lvl>
  </w:abstractNum>
  <w:abstractNum w:abstractNumId="33">
    <w:nsid w:val="6A5F7029"/>
    <w:multiLevelType w:val="hybridMultilevel"/>
    <w:lvl w:ilvl="0">
      <w:lvlJc w:val="left"/>
      <w:lvlText w:val="%1."/>
      <w:numFmt w:val="decimal"/>
      <w:start w:val="33"/>
    </w:lvl>
  </w:abstractNum>
  <w:abstractNum w:abstractNumId="34">
    <w:nsid w:val="7D5E18F8"/>
    <w:multiLevelType w:val="hybridMultilevel"/>
    <w:lvl w:ilvl="0">
      <w:lvlJc w:val="left"/>
      <w:lvlText w:val="%1."/>
      <w:numFmt w:val="decimal"/>
      <w:start w:val="35"/>
    </w:lvl>
    <w:lvl w:ilvl="1">
      <w:lvlJc w:val="left"/>
      <w:lvlText w:val="(%2)"/>
      <w:numFmt w:val="lowerLetter"/>
      <w:start w:val="1"/>
    </w:lvl>
  </w:abstractNum>
  <w:abstractNum w:abstractNumId="35">
    <w:nsid w:val="5F3534A4"/>
    <w:multiLevelType w:val="hybridMultilevel"/>
    <w:lvl w:ilvl="0">
      <w:lvlJc w:val="left"/>
      <w:lvlText w:val="%1."/>
      <w:numFmt w:val="decimal"/>
      <w:start w:val="39"/>
    </w:lvl>
  </w:abstractNum>
  <w:abstractNum w:abstractNumId="36">
    <w:nsid w:val="73A1821B"/>
    <w:multiLevelType w:val="hybridMultilevel"/>
    <w:lvl w:ilvl="0">
      <w:lvlJc w:val="left"/>
      <w:lvlText w:val="%1."/>
      <w:numFmt w:val="decimal"/>
      <w:start w:val="40"/>
    </w:lvl>
    <w:lvl w:ilvl="1">
      <w:lvlJc w:val="left"/>
      <w:lvlText w:val="(%2)"/>
      <w:numFmt w:val="lowerLetter"/>
      <w:start w:val="1"/>
    </w:lvl>
  </w:abstractNum>
  <w:abstractNum w:abstractNumId="37">
    <w:nsid w:val="7DE67713"/>
    <w:multiLevelType w:val="hybridMultilevel"/>
    <w:lvl w:ilvl="0">
      <w:lvlJc w:val="left"/>
      <w:lvlText w:val="%1."/>
      <w:numFmt w:val="decimal"/>
      <w:start w:val="41"/>
    </w:lvl>
  </w:abstractNum>
  <w:abstractNum w:abstractNumId="38">
    <w:nsid w:val="555C55B5"/>
    <w:multiLevelType w:val="hybridMultilevel"/>
    <w:lvl w:ilvl="0">
      <w:lvlJc w:val="left"/>
      <w:lvlText w:val="%1."/>
      <w:numFmt w:val="decimal"/>
      <w:start w:val="43"/>
    </w:lvl>
  </w:abstractNum>
  <w:abstractNum w:abstractNumId="39">
    <w:nsid w:val="3FA62ACA"/>
    <w:multiLevelType w:val="hybridMultilevel"/>
    <w:lvl w:ilvl="0">
      <w:lvlJc w:val="left"/>
      <w:lvlText w:val="%1."/>
      <w:numFmt w:val="decimal"/>
      <w:start w:val="44"/>
    </w:lvl>
  </w:abstractNum>
  <w:abstractNum w:abstractNumId="40">
    <w:nsid w:val="14FCE74E"/>
    <w:multiLevelType w:val="hybridMultilevel"/>
    <w:lvl w:ilvl="0">
      <w:lvlJc w:val="left"/>
      <w:lvlText w:val="%1."/>
      <w:numFmt w:val="decimal"/>
      <w:start w:val="50"/>
    </w:lvl>
  </w:abstractNum>
  <w:abstractNum w:abstractNumId="41">
    <w:nsid w:val="6A3DD3E8"/>
    <w:multiLevelType w:val="hybridMultilevel"/>
    <w:lvl w:ilvl="0">
      <w:lvlJc w:val="left"/>
      <w:lvlText w:val="%1."/>
      <w:numFmt w:val="decimal"/>
      <w:start w:val="58"/>
    </w:lvl>
  </w:abstractNum>
  <w:abstractNum w:abstractNumId="42">
    <w:nsid w:val="71C91298"/>
    <w:multiLevelType w:val="hybridMultilevel"/>
    <w:lvl w:ilvl="0">
      <w:lvlJc w:val="left"/>
      <w:lvlText w:val="%1."/>
      <w:numFmt w:val="decimal"/>
      <w:start w:val="59"/>
    </w:lvl>
    <w:lvl w:ilvl="1">
      <w:lvlJc w:val="left"/>
      <w:lvlText w:val="(%2)"/>
      <w:numFmt w:val="lowerLetter"/>
      <w:start w:val="1"/>
    </w:lvl>
  </w:abstractNum>
  <w:abstractNum w:abstractNumId="43">
    <w:nsid w:val="9DAF632"/>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
    <w:nsid w:val="53299938"/>
    <w:multiLevelType w:val="hybridMultilevel"/>
    <w:lvl w:ilvl="0">
      <w:lvlJc w:val="left"/>
      <w:lvlText w:val="%1"/>
      <w:numFmt w:val="decimal"/>
      <w:start w:val="1"/>
    </w:lvl>
    <w:lvl w:ilvl="1">
      <w:lvlJc w:val="left"/>
      <w:lvlText w:val="(%2)"/>
      <w:numFmt w:val="lowerLetter"/>
      <w:start w:val="4"/>
    </w:lvl>
  </w:abstractNum>
  <w:abstractNum w:abstractNumId="45">
    <w:nsid w:val="1FBFE8E0"/>
    <w:multiLevelType w:val="hybridMultilevel"/>
    <w:lvl w:ilvl="0">
      <w:lvlJc w:val="left"/>
      <w:lvlText w:val="%1."/>
      <w:numFmt w:val="decimal"/>
      <w:start w:val="72"/>
    </w:lvl>
    <w:lvl w:ilvl="1">
      <w:lvlJc w:val="left"/>
      <w:lvlText w:val="(%2)"/>
      <w:numFmt w:val="lowerLetter"/>
      <w:start w:val="1"/>
    </w:lvl>
  </w:abstractNum>
  <w:abstractNum w:abstractNumId="46">
    <w:nsid w:val="5092CA79"/>
    <w:multiLevelType w:val="hybridMultilevel"/>
    <w:lvl w:ilvl="0">
      <w:lvlJc w:val="left"/>
      <w:lvlText w:val="%1."/>
      <w:numFmt w:val="decimal"/>
      <w:start w:val="73"/>
    </w:lvl>
  </w:abstractNum>
  <w:abstractNum w:abstractNumId="47">
    <w:nsid w:val="1D545C4D"/>
    <w:multiLevelType w:val="hybridMultilevel"/>
    <w:lvl w:ilvl="0">
      <w:lvlJc w:val="left"/>
      <w:lvlText w:val="%1."/>
      <w:numFmt w:val="decimal"/>
      <w:start w:val="77"/>
    </w:lvl>
    <w:lvl w:ilvl="1">
      <w:lvlJc w:val="left"/>
      <w:lvlText w:val="(%2)"/>
      <w:numFmt w:val="lowerLetter"/>
      <w:start w:val="1"/>
    </w:lvl>
  </w:abstractNum>
  <w:abstractNum w:abstractNumId="48">
    <w:nsid w:val="59ADEA3D"/>
    <w:multiLevelType w:val="hybridMultilevel"/>
    <w:lvl w:ilvl="0">
      <w:lvlJc w:val="left"/>
      <w:lvlText w:val="%1."/>
      <w:numFmt w:val="decimal"/>
      <w:start w:val="79"/>
    </w:lvl>
    <w:lvl w:ilvl="1">
      <w:lvlJc w:val="left"/>
      <w:lvlText w:val="(%2)"/>
      <w:numFmt w:val="lowerLetter"/>
      <w:start w:val="1"/>
    </w:lvl>
  </w:abstractNum>
  <w:abstractNum w:abstractNumId="49">
    <w:nsid w:val="288F1A34"/>
    <w:multiLevelType w:val="hybridMultilevel"/>
    <w:lvl w:ilvl="0">
      <w:lvlJc w:val="left"/>
      <w:lvlText w:val="%1."/>
      <w:numFmt w:val="decimal"/>
      <w:start w:val="82"/>
    </w:lvl>
  </w:abstractNum>
  <w:abstractNum w:abstractNumId="50">
    <w:nsid w:val="2A155DBC"/>
    <w:multiLevelType w:val="hybridMultilevel"/>
    <w:lvl w:ilvl="0">
      <w:lvlJc w:val="left"/>
      <w:lvlText w:val="%1."/>
      <w:numFmt w:val="decimal"/>
      <w:start w:val="88"/>
    </w:lvl>
  </w:abstractNum>
  <w:abstractNum w:abstractNumId="51">
    <w:nsid w:val="1D9F6E5F"/>
    <w:multiLevelType w:val="hybridMultilevel"/>
    <w:lvl w:ilvl="0">
      <w:lvlJc w:val="left"/>
      <w:lvlText w:val="%1."/>
      <w:numFmt w:val="decimal"/>
      <w:start w:val="90"/>
    </w:lvl>
  </w:abstractNum>
  <w:abstractNum w:abstractNumId="52">
    <w:nsid w:val="97E1B4E"/>
    <w:multiLevelType w:val="hybridMultilevel"/>
    <w:lvl w:ilvl="0">
      <w:lvlJc w:val="left"/>
      <w:lvlText w:val="%1."/>
      <w:numFmt w:val="decimal"/>
      <w:start w:val="99"/>
    </w:lvl>
  </w:abstractNum>
  <w:abstractNum w:abstractNumId="53">
    <w:nsid w:val="51088277"/>
    <w:multiLevelType w:val="hybridMultilevel"/>
    <w:lvl w:ilvl="0">
      <w:lvlJc w:val="left"/>
      <w:lvlText w:val="%1."/>
      <w:numFmt w:val="decimal"/>
      <w:start w:val="101"/>
    </w:lvl>
  </w:abstractNum>
  <w:abstractNum w:abstractNumId="54">
    <w:nsid w:val="1CA0C5FA"/>
    <w:multiLevelType w:val="hybridMultilevel"/>
    <w:lvl w:ilvl="0">
      <w:lvlJc w:val="left"/>
      <w:lvlText w:val="%1."/>
      <w:numFmt w:val="decimal"/>
      <w:start w:val="102"/>
    </w:lvl>
  </w:abstractNum>
  <w:abstractNum w:abstractNumId="55">
    <w:nsid w:val="53584BCB"/>
    <w:multiLevelType w:val="hybridMultilevel"/>
    <w:lvl w:ilvl="0">
      <w:lvlJc w:val="left"/>
      <w:lvlText w:val="%1."/>
      <w:numFmt w:val="decimal"/>
      <w:start w:val="108"/>
    </w:lvl>
    <w:lvl w:ilvl="1">
      <w:lvlJc w:val="left"/>
      <w:lvlText w:val="(%2)"/>
      <w:numFmt w:val="lowerLetter"/>
      <w:start w:val="1"/>
    </w:lvl>
    <w:lvl w:ilvl="2">
      <w:lvlJc w:val="left"/>
      <w:lvlText w:val="(%3)"/>
      <w:numFmt w:val="lowerRoman"/>
      <w:start w:val="1"/>
    </w:lvl>
  </w:abstractNum>
  <w:abstractNum w:abstractNumId="56">
    <w:nsid w:val="415E286C"/>
    <w:multiLevelType w:val="hybridMultilevel"/>
    <w:lvl w:ilvl="0">
      <w:lvlJc w:val="left"/>
      <w:lvlText w:val="%1."/>
      <w:numFmt w:val="decimal"/>
      <w:start w:val="111"/>
    </w:lvl>
  </w:abstractNum>
  <w:abstractNum w:abstractNumId="57">
    <w:nsid w:val="7C58FD05"/>
    <w:multiLevelType w:val="hybridMultilevel"/>
    <w:lvl w:ilvl="0">
      <w:lvlJc w:val="left"/>
      <w:lvlText w:val="%1."/>
      <w:numFmt w:val="decimal"/>
      <w:start w:val="114"/>
    </w:lvl>
  </w:abstractNum>
  <w:abstractNum w:abstractNumId="58">
    <w:nsid w:val="23D86AAC"/>
    <w:multiLevelType w:val="hybridMultilevel"/>
    <w:lvl w:ilvl="0">
      <w:lvlJc w:val="left"/>
      <w:lvlText w:val="%1."/>
      <w:numFmt w:val="decimal"/>
      <w:start w:val="12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9">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0">
    <w:nsid w:val="5C10FE2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61">
    <w:nsid w:val="E7FFA2B"/>
    <w:multiLevelType w:val="hybridMultilevel"/>
    <w:lvl w:ilvl="0">
      <w:lvlJc w:val="left"/>
      <w:lvlText w:val="%1."/>
      <w:numFmt w:val="decimal"/>
      <w:start w:val="130"/>
    </w:lvl>
    <w:lvl w:ilvl="1">
      <w:lvlJc w:val="left"/>
      <w:lvlText w:val="%2"/>
      <w:numFmt w:val="lowerLetter"/>
      <w:start w:val="1"/>
    </w:lvl>
    <w:lvl w:ilvl="2">
      <w:lvlJc w:val="left"/>
      <w:lvlText w:val="%3"/>
      <w:numFmt w:val="lowerLetter"/>
      <w:start w:val="1"/>
    </w:lvl>
  </w:abstractNum>
  <w:abstractNum w:abstractNumId="62">
    <w:nsid w:val="3C5991AA"/>
    <w:multiLevelType w:val="hybridMultilevel"/>
    <w:lvl w:ilvl="0">
      <w:lvlJc w:val="left"/>
      <w:lvlText w:val="%1."/>
      <w:numFmt w:val="decimal"/>
      <w:start w:val="132"/>
    </w:lvl>
    <w:lvl w:ilvl="1">
      <w:lvlJc w:val="left"/>
      <w:lvlText w:val="(%2)"/>
      <w:numFmt w:val="lowerLetter"/>
      <w:start w:val="1"/>
    </w:lvl>
  </w:abstractNum>
  <w:abstractNum w:abstractNumId="63">
    <w:nsid w:val="4BD8591A"/>
    <w:multiLevelType w:val="hybridMultilevel"/>
    <w:lvl w:ilvl="0">
      <w:lvlJc w:val="left"/>
      <w:lvlText w:val="%1."/>
      <w:numFmt w:val="decimal"/>
      <w:start w:val="134"/>
    </w:lvl>
  </w:abstractNum>
  <w:abstractNum w:abstractNumId="64">
    <w:nsid w:val="78DF6A55"/>
    <w:multiLevelType w:val="hybridMultilevel"/>
    <w:lvl w:ilvl="0">
      <w:lvlJc w:val="left"/>
      <w:lvlText w:val="%1."/>
      <w:numFmt w:val="decimal"/>
      <w:start w:val="136"/>
    </w:lvl>
  </w:abstractNum>
  <w:abstractNum w:abstractNumId="65">
    <w:nsid w:val="39B7AAA2"/>
    <w:multiLevelType w:val="hybridMultilevel"/>
    <w:lvl w:ilvl="0">
      <w:lvlJc w:val="left"/>
      <w:lvlText w:val="%1."/>
      <w:numFmt w:val="decimal"/>
      <w:start w:val="138"/>
    </w:lvl>
  </w:abstractNum>
  <w:abstractNum w:abstractNumId="66">
    <w:nsid w:val="2B0D8DBE"/>
    <w:multiLevelType w:val="hybridMultilevel"/>
    <w:lvl w:ilvl="0">
      <w:lvlJc w:val="left"/>
      <w:lvlText w:val="%1."/>
      <w:numFmt w:val="decimal"/>
      <w:start w:val="140"/>
    </w:lvl>
  </w:abstractNum>
  <w:abstractNum w:abstractNumId="67">
    <w:nsid w:val="6C80EC70"/>
    <w:multiLevelType w:val="hybridMultilevel"/>
    <w:lvl w:ilvl="0">
      <w:lvlJc w:val="left"/>
      <w:lvlText w:val="%1."/>
      <w:numFmt w:val="decimal"/>
      <w:start w:val="141"/>
    </w:lvl>
    <w:lvl w:ilvl="1">
      <w:lvlJc w:val="left"/>
      <w:lvlText w:val="(%2)"/>
      <w:numFmt w:val="lowerLetter"/>
      <w:start w:val="1"/>
    </w:lvl>
  </w:abstractNum>
  <w:abstractNum w:abstractNumId="68">
    <w:nsid w:val="379E21B5"/>
    <w:multiLevelType w:val="hybridMultilevel"/>
    <w:lvl w:ilvl="0">
      <w:lvlJc w:val="left"/>
      <w:lvlText w:val="%1."/>
      <w:numFmt w:val="decimal"/>
      <w:start w:val="144"/>
    </w:lvl>
  </w:abstractNum>
  <w:abstractNum w:abstractNumId="69">
    <w:nsid w:val="69E373"/>
    <w:multiLevelType w:val="hybridMultilevel"/>
    <w:lvl w:ilvl="0">
      <w:lvlJc w:val="left"/>
      <w:lvlText w:val="%1."/>
      <w:numFmt w:val="decimal"/>
      <w:start w:val="146"/>
    </w:lvl>
  </w:abstractNum>
  <w:abstractNum w:abstractNumId="70">
    <w:nsid w:val="2C27173B"/>
    <w:multiLevelType w:val="hybridMultilevel"/>
    <w:lvl w:ilvl="0">
      <w:lvlJc w:val="left"/>
      <w:lvlText w:val="%1."/>
      <w:numFmt w:val="decimal"/>
      <w:start w:val="154"/>
    </w:lvl>
  </w:abstractNum>
  <w:abstractNum w:abstractNumId="71">
    <w:nsid w:val="4C9B0904"/>
    <w:multiLevelType w:val="hybridMultilevel"/>
    <w:lvl w:ilvl="0">
      <w:lvlJc w:val="left"/>
      <w:lvlText w:val="%1."/>
      <w:numFmt w:val="decimal"/>
      <w:start w:val="155"/>
    </w:lvl>
  </w:abstractNum>
  <w:abstractNum w:abstractNumId="72">
    <w:nsid w:val="6AA7B75C"/>
    <w:multiLevelType w:val="hybridMultilevel"/>
    <w:lvl w:ilvl="0">
      <w:lvlJc w:val="left"/>
      <w:lvlText w:val="%1."/>
      <w:numFmt w:val="decimal"/>
      <w:start w:val="156"/>
    </w:lvl>
  </w:abstractNum>
  <w:abstractNum w:abstractNumId="73">
    <w:nsid w:val="1DF029D3"/>
    <w:multiLevelType w:val="hybridMultilevel"/>
    <w:lvl w:ilvl="0">
      <w:lvlJc w:val="left"/>
      <w:lvlText w:val="%1."/>
      <w:numFmt w:val="decimal"/>
      <w:start w:val="158"/>
    </w:lvl>
  </w:abstractNum>
  <w:abstractNum w:abstractNumId="74">
    <w:nsid w:val="5675FF36"/>
    <w:multiLevelType w:val="hybridMultilevel"/>
    <w:lvl w:ilvl="0">
      <w:lvlJc w:val="left"/>
      <w:lvlText w:val="%1."/>
      <w:numFmt w:val="decimal"/>
      <w:start w:val="159"/>
    </w:lvl>
  </w:abstractNum>
  <w:abstractNum w:abstractNumId="75">
    <w:nsid w:val="3DD15094"/>
    <w:multiLevelType w:val="hybridMultilevel"/>
    <w:lvl w:ilvl="0">
      <w:lvlJc w:val="left"/>
      <w:lvlText w:val="%1."/>
      <w:numFmt w:val="decimal"/>
      <w:start w:val="163"/>
    </w:lvl>
  </w:abstractNum>
  <w:abstractNum w:abstractNumId="76">
    <w:nsid w:val="3DB012B3"/>
    <w:multiLevelType w:val="hybridMultilevel"/>
    <w:lvl w:ilvl="0">
      <w:lvlJc w:val="left"/>
      <w:lvlText w:val="%1."/>
      <w:numFmt w:val="decimal"/>
      <w:start w:val="166"/>
    </w:lvl>
  </w:abstractNum>
  <w:abstractNum w:abstractNumId="77">
    <w:nsid w:val="2708C9AF"/>
    <w:multiLevelType w:val="hybridMultilevel"/>
    <w:lvl w:ilvl="0">
      <w:lvlJc w:val="left"/>
      <w:lvlText w:val="%1."/>
      <w:numFmt w:val="decimal"/>
      <w:start w:val="173"/>
    </w:lvl>
  </w:abstractNum>
  <w:abstractNum w:abstractNumId="78">
    <w:nsid w:val="5B25ACE2"/>
    <w:multiLevelType w:val="hybridMultilevel"/>
    <w:lvl w:ilvl="0">
      <w:lvlJc w:val="left"/>
      <w:lvlText w:val="%1."/>
      <w:numFmt w:val="decimal"/>
      <w:start w:val="175"/>
    </w:lvl>
  </w:abstractNum>
  <w:abstractNum w:abstractNumId="79">
    <w:nsid w:val="175DFCF0"/>
    <w:multiLevelType w:val="hybridMultilevel"/>
    <w:lvl w:ilvl="0">
      <w:lvlJc w:val="left"/>
      <w:lvlText w:val="%1."/>
      <w:numFmt w:val="decimal"/>
      <w:start w:val="180"/>
    </w:lvl>
  </w:abstractNum>
  <w:abstractNum w:abstractNumId="80">
    <w:nsid w:val="4F97E3E4"/>
    <w:multiLevelType w:val="hybridMultilevel"/>
    <w:lvl w:ilvl="0">
      <w:lvlJc w:val="left"/>
      <w:lvlText w:val="%1."/>
      <w:numFmt w:val="decimal"/>
      <w:start w:val="183"/>
    </w:lvl>
  </w:abstractNum>
  <w:abstractNum w:abstractNumId="81">
    <w:nsid w:val="53B0A9E"/>
    <w:multiLevelType w:val="hybridMultilevel"/>
    <w:lvl w:ilvl="0">
      <w:lvlJc w:val="left"/>
      <w:lvlText w:val="%1."/>
      <w:numFmt w:val="decimal"/>
      <w:start w:val="185"/>
    </w:lvl>
  </w:abstractNum>
  <w:abstractNum w:abstractNumId="82">
    <w:nsid w:val="34FD6B4F"/>
    <w:multiLevelType w:val="hybridMultilevel"/>
    <w:lvl w:ilvl="0">
      <w:lvlJc w:val="left"/>
      <w:lvlText w:val="%1."/>
      <w:numFmt w:val="decimal"/>
      <w:start w:val="187"/>
    </w:lvl>
    <w:lvl w:ilvl="1">
      <w:lvlJc w:val="left"/>
      <w:lvlText w:val="(%2)"/>
      <w:numFmt w:val="lowerLetter"/>
      <w:start w:val="1"/>
    </w:lvl>
  </w:abstractNum>
  <w:abstractNum w:abstractNumId="83">
    <w:nsid w:val="5915FF32"/>
    <w:multiLevelType w:val="hybridMultilevel"/>
    <w:lvl w:ilvl="0">
      <w:lvlJc w:val="left"/>
      <w:lvlText w:val="(%1)"/>
      <w:numFmt w:val="lowerLetter"/>
      <w:start w:val="5"/>
    </w:lvl>
  </w:abstractNum>
  <w:abstractNum w:abstractNumId="84">
    <w:nsid w:val="56438D15"/>
    <w:multiLevelType w:val="hybridMultilevel"/>
    <w:lvl w:ilvl="0">
      <w:lvlJc w:val="left"/>
      <w:lvlText w:val="%1."/>
      <w:numFmt w:val="decimal"/>
      <w:start w:val="189"/>
    </w:lvl>
  </w:abstractNum>
  <w:abstractNum w:abstractNumId="85">
    <w:nsid w:val="519E3149"/>
    <w:multiLevelType w:val="hybridMultilevel"/>
    <w:lvl w:ilvl="0">
      <w:lvlJc w:val="left"/>
      <w:lvlText w:val="%1."/>
      <w:numFmt w:val="decimal"/>
      <w:start w:val="190"/>
    </w:lvl>
  </w:abstractNum>
  <w:abstractNum w:abstractNumId="86">
    <w:nsid w:val="2C6E4AFD"/>
    <w:multiLevelType w:val="hybridMultilevel"/>
    <w:lvl w:ilvl="0">
      <w:lvlJc w:val="left"/>
      <w:lvlText w:val="(%1)"/>
      <w:numFmt w:val="lowerLetter"/>
      <w:start w:val="1"/>
    </w:lvl>
  </w:abstractNum>
  <w:abstractNum w:abstractNumId="87">
    <w:nsid w:val="17A1B582"/>
    <w:multiLevelType w:val="hybridMultilevel"/>
    <w:lvl w:ilvl="0">
      <w:lvlJc w:val="left"/>
      <w:lvlText w:val="(%1)"/>
      <w:numFmt w:val="lowerRoman"/>
      <w:start w:val="1"/>
    </w:lvl>
  </w:abstractNum>
  <w:abstractNum w:abstractNumId="88">
    <w:nsid w:val="4DF72E4E"/>
    <w:multiLevelType w:val="hybridMultilevel"/>
    <w:lvl w:ilvl="0">
      <w:lvlJc w:val="left"/>
      <w:lvlText w:val="(%1)"/>
      <w:numFmt w:val="lowerLetter"/>
      <w:start w:val="4"/>
    </w:lvl>
  </w:abstractNum>
  <w:abstractNum w:abstractNumId="89">
    <w:nsid w:val="5046B5A9"/>
    <w:multiLevelType w:val="hybridMultilevel"/>
    <w:lvl w:ilvl="0">
      <w:lvlJc w:val="left"/>
      <w:lvlText w:val="(%1)"/>
      <w:numFmt w:val="lowerLetter"/>
      <w:start w:val="1"/>
    </w:lvl>
  </w:abstractNum>
  <w:abstractNum w:abstractNumId="90">
    <w:nsid w:val="5D888A08"/>
    <w:multiLevelType w:val="hybridMultilevel"/>
    <w:lvl w:ilvl="0">
      <w:lvlJc w:val="left"/>
      <w:lvlText w:val="(%1)"/>
      <w:numFmt w:val="lowerLetter"/>
      <w:start w:val="1"/>
    </w:lvl>
  </w:abstractNum>
  <w:abstractNum w:abstractNumId="91">
    <w:nsid w:val="2A082C70"/>
    <w:multiLevelType w:val="hybridMultilevel"/>
    <w:lvl w:ilvl="0">
      <w:lvlJc w:val="left"/>
      <w:lvlText w:val="(%1)"/>
      <w:numFmt w:val="lowerRoman"/>
      <w:start w:val="5"/>
    </w:lvl>
  </w:abstractNum>
  <w:abstractNum w:abstractNumId="92">
    <w:nsid w:val="5EC6AFD4"/>
    <w:multiLevelType w:val="hybridMultilevel"/>
    <w:lvl w:ilvl="0">
      <w:lvlJc w:val="left"/>
      <w:lvlText w:val="(%1)"/>
      <w:numFmt w:val="lowerRoman"/>
      <w:start w:val="1"/>
    </w:lvl>
  </w:abstractNum>
  <w:abstractNum w:abstractNumId="93">
    <w:nsid w:val="19E21BB2"/>
    <w:multiLevelType w:val="hybridMultilevel"/>
    <w:lvl w:ilvl="0">
      <w:lvlJc w:val="left"/>
      <w:lvlText w:val="(%1)"/>
      <w:numFmt w:val="decimal"/>
      <w:start w:val="10"/>
    </w:lvl>
  </w:abstractNum>
  <w:abstractNum w:abstractNumId="94">
    <w:nsid w:val="75E0858A"/>
    <w:multiLevelType w:val="hybridMultilevel"/>
    <w:lvl w:ilvl="0">
      <w:lvlJc w:val="left"/>
      <w:lvlText w:val="(%1)"/>
      <w:numFmt w:val="lowerRoman"/>
      <w:start w:val="1"/>
    </w:lvl>
  </w:abstractNum>
  <w:abstractNum w:abstractNumId="95">
    <w:nsid w:val="57A61A29"/>
    <w:multiLevelType w:val="hybridMultilevel"/>
    <w:lvl w:ilvl="0">
      <w:lvlJc w:val="left"/>
      <w:lvlText w:val="(%1)"/>
      <w:numFmt w:val="lowerLetter"/>
      <w:start w:val="1"/>
    </w:lvl>
  </w:abstractNum>
  <w:abstractNum w:abstractNumId="96">
    <w:nsid w:val="5399C654"/>
    <w:multiLevelType w:val="hybridMultilevel"/>
    <w:lvl w:ilvl="0">
      <w:lvlJc w:val="left"/>
      <w:lvlText w:val="(%1)"/>
      <w:numFmt w:val="decimal"/>
      <w:start w:val="90"/>
    </w:lvl>
  </w:abstractNum>
  <w:abstractNum w:abstractNumId="97">
    <w:nsid w:val="20EE1348"/>
    <w:multiLevelType w:val="hybridMultilevel"/>
    <w:lvl w:ilvl="0">
      <w:lvlJc w:val="left"/>
      <w:lvlText w:val="(%1)"/>
      <w:numFmt w:val="lowerLetter"/>
      <w:start w:val="1"/>
    </w:lvl>
  </w:abstractNum>
  <w:abstractNum w:abstractNumId="98">
    <w:nsid w:val="4427069A"/>
    <w:multiLevelType w:val="hybridMultilevel"/>
    <w:lvl w:ilvl="0">
      <w:lvlJc w:val="left"/>
      <w:lvlText w:val="(%1)"/>
      <w:numFmt w:val="lowerLetter"/>
      <w:start w:val="5"/>
    </w:lvl>
  </w:abstractNum>
  <w:abstractNum w:abstractNumId="99">
    <w:nsid w:val="B37E80A"/>
    <w:multiLevelType w:val="hybridMultilevel"/>
    <w:lvl w:ilvl="0">
      <w:lvlJc w:val="left"/>
      <w:lvlText w:val="(%1)"/>
      <w:numFmt w:val="lowerLetter"/>
      <w:start w:val="7"/>
    </w:lvl>
  </w:abstractNum>
  <w:abstractNum w:abstractNumId="100">
    <w:nsid w:val="2157F6BC"/>
    <w:multiLevelType w:val="hybridMultilevel"/>
    <w:lvl w:ilvl="0">
      <w:lvlJc w:val="left"/>
      <w:lvlText w:val="%1."/>
      <w:numFmt w:val="decimal"/>
      <w:start w:val="1"/>
    </w:lvl>
  </w:abstractNum>
  <w:abstractNum w:abstractNumId="101">
    <w:nsid w:val="704E1DD5"/>
    <w:multiLevelType w:val="hybridMultilevel"/>
    <w:lvl w:ilvl="0">
      <w:lvlJc w:val="left"/>
      <w:lvlText w:val="(%1)"/>
      <w:numFmt w:val="lowerLetter"/>
      <w:start w:val="1"/>
    </w:lvl>
  </w:abstractNum>
  <w:abstractNum w:abstractNumId="102">
    <w:nsid w:val="57D2F10E"/>
    <w:multiLevelType w:val="hybridMultilevel"/>
    <w:lvl w:ilvl="0">
      <w:lvlJc w:val="left"/>
      <w:lvlText w:val="(%1)"/>
      <w:numFmt w:val="lowerLetter"/>
      <w:start w:val="11"/>
    </w:lvl>
  </w:abstractNum>
  <w:abstractNum w:abstractNumId="103">
    <w:nsid w:val="BFFAE18"/>
    <w:multiLevelType w:val="hybridMultilevel"/>
    <w:lvl w:ilvl="0">
      <w:lvlJc w:val="left"/>
      <w:lvlText w:val="%1."/>
      <w:numFmt w:val="decimal"/>
      <w:start w:val="2"/>
    </w:lvl>
  </w:abstractNum>
  <w:abstractNum w:abstractNumId="104">
    <w:nsid w:val="E3E47A8"/>
    <w:multiLevelType w:val="hybridMultilevel"/>
    <w:lvl w:ilvl="0">
      <w:lvlJc w:val="left"/>
      <w:lvlText w:val="(%1)"/>
      <w:numFmt w:val="lowerLetter"/>
      <w:start w:val="1"/>
    </w:lvl>
  </w:abstractNum>
  <w:abstractNum w:abstractNumId="105">
    <w:nsid w:val="2E48F044"/>
    <w:multiLevelType w:val="hybridMultilevel"/>
    <w:lvl w:ilvl="0">
      <w:lvlJc w:val="left"/>
      <w:lvlText w:val="(%1)"/>
      <w:numFmt w:val="lowerLetter"/>
      <w:start w:val="6"/>
    </w:lvl>
  </w:abstractNum>
  <w:abstractNum w:abstractNumId="106">
    <w:nsid w:val="49D0FEAC"/>
    <w:multiLevelType w:val="hybridMultilevel"/>
    <w:lvl w:ilvl="0">
      <w:lvlJc w:val="left"/>
      <w:lvlText w:val="%1."/>
      <w:numFmt w:val="decimal"/>
      <w:start w:val="3"/>
    </w:lvl>
  </w:abstractNum>
  <w:abstractNum w:abstractNumId="107">
    <w:nsid w:val="4BEE5A5B"/>
    <w:multiLevelType w:val="hybridMultilevel"/>
    <w:lvl w:ilvl="0">
      <w:lvlJc w:val="left"/>
      <w:lvlText w:val="(%1)"/>
      <w:numFmt w:val="lowerLetter"/>
      <w:start w:val="1"/>
    </w:lvl>
  </w:abstractNum>
  <w:abstractNum w:abstractNumId="108">
    <w:nsid w:val="5551B9F3"/>
    <w:multiLevelType w:val="hybridMultilevel"/>
    <w:lvl w:ilvl="0">
      <w:lvlJc w:val="left"/>
      <w:lvlText w:val="(%1)"/>
      <w:numFmt w:val="lowerRoman"/>
      <w:start w:val="3"/>
    </w:lvl>
  </w:abstractNum>
  <w:abstractNum w:abstractNumId="109">
    <w:nsid w:val="24F6AB8E"/>
    <w:multiLevelType w:val="hybridMultilevel"/>
    <w:lvl w:ilvl="0">
      <w:lvlJc w:val="left"/>
      <w:lvlText w:val="(%1)"/>
      <w:numFmt w:val="lowerLetter"/>
      <w:start w:val="1"/>
    </w:lvl>
  </w:abstractNum>
  <w:abstractNum w:abstractNumId="110">
    <w:nsid w:val="634C574C"/>
    <w:multiLevelType w:val="hybridMultilevel"/>
    <w:lvl w:ilvl="0">
      <w:lvlJc w:val="left"/>
      <w:lvlText w:val="(%1)"/>
      <w:numFmt w:val="lowerRoman"/>
      <w:start w:val="1"/>
    </w:lvl>
  </w:abstractNum>
  <w:abstractNum w:abstractNumId="111">
    <w:nsid w:val="24E99DD7"/>
    <w:multiLevelType w:val="hybridMultilevel"/>
    <w:lvl w:ilvl="0">
      <w:lvlJc w:val="left"/>
      <w:lvlText w:val="(%1)"/>
      <w:numFmt w:val="lowerLetter"/>
      <w:start w:val="2"/>
    </w:lvl>
  </w:abstractNum>
  <w:abstractNum w:abstractNumId="112">
    <w:nsid w:val="2A31B62D"/>
    <w:multiLevelType w:val="hybridMultilevel"/>
    <w:lvl w:ilvl="0">
      <w:lvlJc w:val="left"/>
      <w:lvlText w:val="(%1)"/>
      <w:numFmt w:val="lowerLetter"/>
      <w:start w:val="4"/>
    </w:lvl>
  </w:abstractNum>
  <w:abstractNum w:abstractNumId="113">
    <w:nsid w:val="1849C29B"/>
    <w:multiLevelType w:val="hybridMultilevel"/>
    <w:lvl w:ilvl="0">
      <w:lvlJc w:val="left"/>
      <w:lvlText w:val="(%1)"/>
      <w:numFmt w:val="lowerRoman"/>
      <w:start w:val="1"/>
    </w:lvl>
  </w:abstractNum>
  <w:abstractNum w:abstractNumId="114">
    <w:nsid w:val="7DFF9D09"/>
    <w:multiLevelType w:val="hybridMultilevel"/>
    <w:lvl w:ilvl="0">
      <w:lvlJc w:val="left"/>
      <w:lvlText w:val="(%1)"/>
      <w:numFmt w:val="lowerRoman"/>
      <w:start w:val="3"/>
    </w:lvl>
  </w:abstractNum>
  <w:abstractNum w:abstractNumId="115">
    <w:nsid w:val="754342"/>
    <w:multiLevelType w:val="hybridMultilevel"/>
    <w:lvl w:ilvl="0">
      <w:lvlJc w:val="left"/>
      <w:lvlText w:val="(%1)"/>
      <w:numFmt w:val="lowerLetter"/>
      <w:start w:val="6"/>
    </w:lvl>
  </w:abstractNum>
  <w:abstractNum w:abstractNumId="116">
    <w:nsid w:val="69E7F3E5"/>
    <w:multiLevelType w:val="hybridMultilevel"/>
    <w:lvl w:ilvl="0">
      <w:lvlJc w:val="left"/>
      <w:lvlText w:val="(%1)"/>
      <w:numFmt w:val="lowerRoman"/>
      <w:start w:val="1"/>
    </w:lvl>
  </w:abstractNum>
  <w:abstractNum w:abstractNumId="117">
    <w:nsid w:val="2A6DE806"/>
    <w:multiLevelType w:val="hybridMultilevel"/>
    <w:lvl w:ilvl="0">
      <w:lvlJc w:val="left"/>
      <w:lvlText w:val="%1."/>
      <w:numFmt w:val="decimal"/>
      <w:start w:val="1"/>
    </w:lvl>
  </w:abstractNum>
  <w:abstractNum w:abstractNumId="118">
    <w:nsid w:val="1816F8C4"/>
    <w:multiLevelType w:val="hybridMultilevel"/>
    <w:lvl w:ilvl="0">
      <w:lvlJc w:val="left"/>
      <w:lvlText w:val="(%1)"/>
      <w:numFmt w:val="lowerLetter"/>
      <w:start w:val="1"/>
    </w:lvl>
  </w:abstractNum>
  <w:abstractNum w:abstractNumId="119">
    <w:nsid w:val="37DF2233"/>
    <w:multiLevelType w:val="hybridMultilevel"/>
    <w:lvl w:ilvl="0">
      <w:lvlJc w:val="left"/>
      <w:lvlText w:val="(%1)"/>
      <w:numFmt w:val="lowerLetter"/>
      <w:start w:val="4"/>
    </w:lvl>
  </w:abstractNum>
  <w:abstractNum w:abstractNumId="120">
    <w:nsid w:val="7AB49DAF"/>
    <w:multiLevelType w:val="hybridMultilevel"/>
    <w:lvl w:ilvl="0">
      <w:lvlJc w:val="left"/>
      <w:lvlText w:val="(%1)"/>
      <w:numFmt w:val="lowerLetter"/>
      <w:start w:val="1"/>
    </w:lvl>
  </w:abstractNum>
  <w:abstractNum w:abstractNumId="121">
    <w:nsid w:val="759F82CD"/>
    <w:multiLevelType w:val="hybridMultilevel"/>
    <w:lvl w:ilvl="0">
      <w:lvlJc w:val="left"/>
      <w:lvlText w:val="(%1)"/>
      <w:numFmt w:val="lowerLetter"/>
      <w:start w:val="3"/>
    </w:lvl>
  </w:abstractNum>
  <w:abstractNum w:abstractNumId="122">
    <w:nsid w:val="61E74EA3"/>
    <w:multiLevelType w:val="hybridMultilevel"/>
    <w:lvl w:ilvl="0">
      <w:lvlJc w:val="left"/>
      <w:lvlText w:val="(%1)"/>
      <w:numFmt w:val="lowerLetter"/>
      <w:start w:val="1"/>
    </w:lvl>
  </w:abstractNum>
  <w:abstractNum w:abstractNumId="123">
    <w:nsid w:val="597B4D84"/>
    <w:multiLevelType w:val="hybridMultilevel"/>
    <w:lvl w:ilvl="0">
      <w:lvlJc w:val="left"/>
      <w:lvlText w:val="(%1)"/>
      <w:numFmt w:val="lowerLetter"/>
      <w:start w:val="2"/>
    </w:lvl>
  </w:abstractNum>
  <w:abstractNum w:abstractNumId="124">
    <w:nsid w:val="F819E7F"/>
    <w:multiLevelType w:val="hybridMultilevel"/>
    <w:lvl w:ilvl="0">
      <w:lvlJc w:val="left"/>
      <w:lvlText w:val="(%1)"/>
      <w:numFmt w:val="lowerLetter"/>
      <w:start w:val="6"/>
    </w:lvl>
  </w:abstractNum>
  <w:abstractNum w:abstractNumId="125">
    <w:nsid w:val="57C7D42D"/>
    <w:multiLevelType w:val="hybridMultilevel"/>
    <w:lvl w:ilvl="0">
      <w:lvlJc w:val="left"/>
      <w:lvlText w:val="(%1)"/>
      <w:numFmt w:val="lowerLetter"/>
      <w:start w:val="1"/>
    </w:lvl>
  </w:abstractNum>
  <w:abstractNum w:abstractNumId="126">
    <w:nsid w:val="312167AD"/>
    <w:multiLevelType w:val="hybridMultilevel"/>
    <w:lvl w:ilvl="0">
      <w:lvlJc w:val="left"/>
      <w:lvlText w:val="(%1)"/>
      <w:numFmt w:val="lowerLetter"/>
      <w:start w:val="1"/>
    </w:lvl>
  </w:abstractNum>
  <w:abstractNum w:abstractNumId="127">
    <w:nsid w:val="631B64D4"/>
    <w:multiLevelType w:val="hybridMultilevel"/>
    <w:lvl w:ilvl="0">
      <w:lvlJc w:val="left"/>
      <w:lvlText w:val="(%1)"/>
      <w:numFmt w:val="lowerLetter"/>
      <w:start w:val="6"/>
    </w:lvl>
  </w:abstractNum>
  <w:abstractNum w:abstractNumId="128">
    <w:nsid w:val="78B5E776"/>
    <w:multiLevelType w:val="hybridMultilevel"/>
    <w:lvl w:ilvl="0">
      <w:lvlJc w:val="left"/>
      <w:lvlText w:val="(%1)"/>
      <w:numFmt w:val="lowerLetter"/>
      <w:start w:val="1"/>
    </w:lvl>
  </w:abstractNum>
  <w:abstractNum w:abstractNumId="129">
    <w:nsid w:val="75486E47"/>
    <w:multiLevelType w:val="hybridMultilevel"/>
    <w:lvl w:ilvl="0">
      <w:lvlJc w:val="left"/>
      <w:lvlText w:val="(%1)"/>
      <w:numFmt w:val="lowerLetter"/>
      <w:start w:val="1"/>
    </w:lvl>
  </w:abstractNum>
  <w:abstractNum w:abstractNumId="130">
    <w:nsid w:val="6E534CDE"/>
    <w:multiLevelType w:val="hybridMultilevel"/>
    <w:lvl w:ilvl="0">
      <w:lvlJc w:val="left"/>
      <w:lvlText w:val="(%1)"/>
      <w:numFmt w:val="lowerLetter"/>
      <w:start w:val="2"/>
    </w:lvl>
  </w:abstractNum>
  <w:abstractNum w:abstractNumId="131">
    <w:nsid w:val="1A0DDE32"/>
    <w:multiLevelType w:val="hybridMultilevel"/>
    <w:lvl w:ilvl="0">
      <w:lvlJc w:val="left"/>
      <w:lvlText w:val="(%1)"/>
      <w:numFmt w:val="lowerLetter"/>
      <w:start w:val="1"/>
    </w:lvl>
  </w:abstractNum>
  <w:abstractNum w:abstractNumId="132">
    <w:nsid w:val="65968C1C"/>
    <w:multiLevelType w:val="hybridMultilevel"/>
    <w:lvl w:ilvl="0">
      <w:lvlJc w:val="left"/>
      <w:lvlText w:val="(%1)"/>
      <w:numFmt w:val="lowerLetter"/>
      <w:start w:val="1"/>
    </w:lvl>
  </w:abstractNum>
  <w:abstractNum w:abstractNumId="133">
    <w:nsid w:val="46263DEC"/>
    <w:multiLevelType w:val="hybridMultilevel"/>
    <w:lvl w:ilvl="0">
      <w:lvlJc w:val="left"/>
      <w:lvlText w:val="(%1)"/>
      <w:numFmt w:val="lowerLetter"/>
      <w:start w:val="8"/>
    </w:lvl>
  </w:abstractNum>
  <w:abstractNum w:abstractNumId="134">
    <w:nsid w:val="260D8C4A"/>
    <w:multiLevelType w:val="hybridMultilevel"/>
    <w:lvl w:ilvl="0">
      <w:lvlJc w:val="left"/>
      <w:lvlText w:val="(%1)"/>
      <w:numFmt w:val="lowerLetter"/>
      <w:start w:val="1"/>
    </w:lvl>
  </w:abstractNum>
  <w:abstractNum w:abstractNumId="135">
    <w:nsid w:val="73D4D3C4"/>
    <w:multiLevelType w:val="hybridMultilevel"/>
    <w:lvl w:ilvl="0">
      <w:lvlJc w:val="left"/>
      <w:lvlText w:val="(%1)"/>
      <w:numFmt w:val="lowerRoman"/>
      <w:start w:val="1"/>
    </w:lvl>
  </w:abstractNum>
  <w:abstractNum w:abstractNumId="136">
    <w:nsid w:val="746F2E30"/>
    <w:multiLevelType w:val="hybridMultilevel"/>
    <w:lvl w:ilvl="0">
      <w:lvlJc w:val="left"/>
      <w:lvlText w:val="(%1)"/>
      <w:numFmt w:val="lowerRoman"/>
      <w:start w:val="4"/>
    </w:lvl>
  </w:abstractNum>
  <w:abstractNum w:abstractNumId="137">
    <w:nsid w:val="6FDE8AF6"/>
    <w:multiLevelType w:val="hybridMultilevel"/>
    <w:lvl w:ilvl="0">
      <w:lvlJc w:val="left"/>
      <w:lvlText w:val="(%1)"/>
      <w:numFmt w:val="lowerLetter"/>
      <w:start w:val="2"/>
    </w:lvl>
  </w:abstractNum>
  <w:abstractNum w:abstractNumId="138">
    <w:nsid w:val="3FC32E20"/>
    <w:multiLevelType w:val="hybridMultilevel"/>
    <w:lvl w:ilvl="0">
      <w:lvlJc w:val="left"/>
      <w:lvlText w:val="(%1)"/>
      <w:numFmt w:val="lowerLetter"/>
      <w:start w:val="1"/>
    </w:lvl>
  </w:abstractNum>
  <w:abstractNum w:abstractNumId="139">
    <w:nsid w:val="49C0E823"/>
    <w:multiLevelType w:val="hybridMultilevel"/>
    <w:lvl w:ilvl="0">
      <w:lvlJc w:val="left"/>
      <w:lvlText w:val="(%1)"/>
      <w:numFmt w:val="lowerLetter"/>
      <w:start w:val="1"/>
    </w:lvl>
  </w:abstractNum>
  <w:abstractNum w:abstractNumId="140">
    <w:nsid w:val="14D53685"/>
    <w:multiLevelType w:val="hybridMultilevel"/>
    <w:lvl w:ilvl="0">
      <w:lvlJc w:val="left"/>
      <w:lvlText w:val="(%1)"/>
      <w:numFmt w:val="lowerLetter"/>
      <w:start w:val="1"/>
    </w:lvl>
  </w:abstractNum>
  <w:abstractNum w:abstractNumId="141">
    <w:nsid w:val="230F856C"/>
    <w:multiLevelType w:val="hybridMultilevel"/>
    <w:lvl w:ilvl="0">
      <w:lvlJc w:val="left"/>
      <w:lvlText w:val="(%1)"/>
      <w:numFmt w:val="lowerLetter"/>
      <w:start w:val="1"/>
    </w:lvl>
  </w:abstractNum>
  <w:abstractNum w:abstractNumId="142">
    <w:nsid w:val="6EAA85FB"/>
    <w:multiLevelType w:val="hybridMultilevel"/>
    <w:lvl w:ilvl="0">
      <w:lvlJc w:val="left"/>
      <w:lvlText w:val="(%1)"/>
      <w:numFmt w:val="lowerLetter"/>
      <w:start w:val="1"/>
    </w:lvl>
  </w:abstractNum>
  <w:abstractNum w:abstractNumId="143">
    <w:nsid w:val="3F06ECB2"/>
    <w:multiLevelType w:val="hybridMultilevel"/>
    <w:lvl w:ilvl="0">
      <w:lvlJc w:val="left"/>
      <w:lvlText w:val="(%1)"/>
      <w:numFmt w:val="lowerLetter"/>
      <w:start w:val="3"/>
    </w:lvl>
  </w:abstractNum>
  <w:abstractNum w:abstractNumId="144">
    <w:nsid w:val="3B594807"/>
    <w:multiLevelType w:val="hybridMultilevel"/>
    <w:lvl w:ilvl="0">
      <w:lvlJc w:val="left"/>
      <w:lvlText w:val="(%1)"/>
      <w:numFmt w:val="lowerLetter"/>
      <w:start w:val="1"/>
    </w:lvl>
  </w:abstractNum>
  <w:abstractNum w:abstractNumId="145">
    <w:nsid w:val="6CAA2304"/>
    <w:multiLevelType w:val="hybridMultilevel"/>
    <w:lvl w:ilvl="0">
      <w:lvlJc w:val="left"/>
      <w:lvlText w:val="(%1)"/>
      <w:numFmt w:val="lowerLetter"/>
      <w:start w:val="2"/>
    </w:lvl>
  </w:abstractNum>
  <w:abstractNum w:abstractNumId="146">
    <w:nsid w:val="3F7C2FF4"/>
    <w:multiLevelType w:val="hybridMultilevel"/>
    <w:lvl w:ilvl="0">
      <w:lvlJc w:val="left"/>
      <w:lvlText w:val="(%1)"/>
      <w:numFmt w:val="lowerLetter"/>
      <w:start w:val="2"/>
    </w:lvl>
  </w:abstractNum>
  <w:abstractNum w:abstractNumId="147">
    <w:nsid w:val="25413BEC"/>
    <w:multiLevelType w:val="hybridMultilevel"/>
    <w:lvl w:ilvl="0">
      <w:lvlJc w:val="left"/>
      <w:lvlText w:val="(%1)"/>
      <w:numFmt w:val="lowerLetter"/>
      <w:start w:val="1"/>
    </w:lvl>
  </w:abstractNum>
  <w:abstractNum w:abstractNumId="148">
    <w:nsid w:val="17180B0B"/>
    <w:multiLevelType w:val="hybridMultilevel"/>
    <w:lvl w:ilvl="0">
      <w:lvlJc w:val="left"/>
      <w:lvlText w:val="(%1)"/>
      <w:numFmt w:val="lowerLetter"/>
      <w:start w:val="1"/>
    </w:lvl>
    <w:lvl w:ilvl="1">
      <w:lvlJc w:val="left"/>
      <w:lvlText w:val="(%2)"/>
      <w:numFmt w:val="lowerLetter"/>
      <w:start w:val="9"/>
    </w:lvl>
  </w:abstractNum>
  <w:abstractNum w:abstractNumId="149">
    <w:nsid w:val="579328B9"/>
    <w:multiLevelType w:val="hybridMultilevel"/>
    <w:lvl w:ilvl="0">
      <w:lvlJc w:val="left"/>
      <w:lvlText w:val="•"/>
      <w:numFmt w:val="bullet"/>
      <w:start w:val="1"/>
    </w:lvl>
  </w:abstractNum>
  <w:abstractNum w:abstractNumId="150">
    <w:nsid w:val="5D205E20"/>
    <w:multiLevelType w:val="hybridMultilevel"/>
    <w:lvl w:ilvl="0">
      <w:lvlJc w:val="left"/>
      <w:lvlText w:val="•"/>
      <w:numFmt w:val="bullet"/>
      <w:start w:val="1"/>
    </w:lvl>
  </w:abstractNum>
  <w:abstractNum w:abstractNumId="151">
    <w:nsid w:val="11CCA8BA"/>
    <w:multiLevelType w:val="hybridMultilevel"/>
    <w:lvl w:ilvl="0">
      <w:lvlJc w:val="left"/>
      <w:lvlText w:val="•"/>
      <w:numFmt w:val="bullet"/>
      <w:start w:val="1"/>
    </w:lvl>
  </w:abstractNum>
  <w:abstractNum w:abstractNumId="152">
    <w:nsid w:val="4D32AB86"/>
    <w:multiLevelType w:val="hybridMultilevel"/>
    <w:lvl w:ilvl="0">
      <w:lvlJc w:val="left"/>
      <w:lvlText w:val="•"/>
      <w:numFmt w:val="bullet"/>
      <w:start w:val="1"/>
    </w:lvl>
  </w:abstractNum>
  <w:abstractNum w:abstractNumId="153">
    <w:nsid w:val="3F07ACC3"/>
    <w:multiLevelType w:val="hybridMultilevel"/>
    <w:lvl w:ilvl="0">
      <w:lvlJc w:val="left"/>
      <w:lvlText w:val="(%1)"/>
      <w:numFmt w:val="decimal"/>
      <w:start w:val="1"/>
    </w:lvl>
  </w:abstractNum>
  <w:abstractNum w:abstractNumId="154">
    <w:nsid w:val="6B47F63E"/>
    <w:multiLevelType w:val="hybridMultilevel"/>
    <w:lvl w:ilvl="0">
      <w:lvlJc w:val="left"/>
      <w:lvlText w:val="(%1)"/>
      <w:numFmt w:val="decimal"/>
      <w:start w:val="3"/>
    </w:lvl>
  </w:abstractNum>
  <w:abstractNum w:abstractNumId="155">
    <w:nsid w:val="5CB44A05"/>
    <w:multiLevelType w:val="hybridMultilevel"/>
    <w:lvl w:ilvl="0">
      <w:lvlJc w:val="left"/>
      <w:lvlText w:val="1"/>
      <w:numFmt w:val="bullet"/>
      <w:start w:val="1"/>
    </w:lvl>
  </w:abstractNum>
  <w:abstractNum w:abstractNumId="156">
    <w:nsid w:val="16CF80F1"/>
    <w:multiLevelType w:val="hybridMultilevel"/>
    <w:lvl w:ilvl="0">
      <w:lvlJc w:val="left"/>
      <w:lvlText w:val="•"/>
      <w:numFmt w:val="bullet"/>
      <w:start w:val="1"/>
    </w:lvl>
  </w:abstractNum>
  <w:abstractNum w:abstractNumId="157">
    <w:nsid w:val="1C695DEC"/>
    <w:multiLevelType w:val="hybridMultilevel"/>
    <w:lvl w:ilvl="0">
      <w:lvlJc w:val="left"/>
      <w:lvlText w:val="(%1)"/>
      <w:numFmt w:val="upperLetter"/>
      <w:start w:val="1"/>
    </w:lvl>
  </w:abstractNum>
  <w:abstractNum w:abstractNumId="158">
    <w:nsid w:val="3FCFAED9"/>
    <w:multiLevelType w:val="hybridMultilevel"/>
    <w:lvl w:ilvl="0">
      <w:lvlJc w:val="left"/>
      <w:lvlText w:val="•"/>
      <w:numFmt w:val="bullet"/>
      <w:start w:val="1"/>
    </w:lvl>
  </w:abstractNum>
  <w:abstractNum w:abstractNumId="159">
    <w:nsid w:val="F856867"/>
    <w:multiLevelType w:val="hybridMultilevel"/>
    <w:lvl w:ilvl="0">
      <w:lvlJc w:val="left"/>
      <w:lvlText w:val="(%1)"/>
      <w:numFmt w:val="upperLetter"/>
      <w:start w:val="3"/>
    </w:lvl>
  </w:abstractNum>
  <w:abstractNum w:abstractNumId="160">
    <w:nsid w:val="11B1CC33"/>
    <w:multiLevelType w:val="hybridMultilevel"/>
    <w:lvl w:ilvl="0">
      <w:lvlJc w:val="left"/>
      <w:lvlText w:val="(%1)"/>
      <w:numFmt w:val="upperLetter"/>
      <w:start w:val="8"/>
    </w:lvl>
  </w:abstractNum>
  <w:abstractNum w:abstractNumId="161">
    <w:nsid w:val="2E22FBB7"/>
    <w:multiLevelType w:val="hybridMultilevel"/>
    <w:lvl w:ilvl="0">
      <w:lvlJc w:val="left"/>
      <w:lvlText w:val="%1"/>
      <w:numFmt w:val="upperLetter"/>
      <w:start w:val="1"/>
    </w:lvl>
    <w:lvl w:ilvl="1">
      <w:lvlJc w:val="left"/>
      <w:lvlText w:val="(%2)"/>
      <w:numFmt w:val="decimal"/>
      <w:start w:val="1"/>
    </w:lvl>
  </w:abstractNum>
  <w:abstractNum w:abstractNumId="162">
    <w:nsid w:val="29934699"/>
    <w:multiLevelType w:val="hybridMultilevel"/>
    <w:lvl w:ilvl="0">
      <w:lvlJc w:val="left"/>
      <w:lvlText w:val="(%1)"/>
      <w:numFmt w:val="upperLetter"/>
      <w:start w:val="10"/>
    </w:lvl>
    <w:lvl w:ilvl="1">
      <w:lvlJc w:val="left"/>
      <w:lvlText w:val="%2"/>
      <w:numFmt w:val="decimal"/>
      <w:start w:val="1"/>
    </w:lvl>
  </w:abstractNum>
  <w:abstractNum w:abstractNumId="163">
    <w:nsid w:val="77485850"/>
    <w:multiLevelType w:val="hybridMultilevel"/>
    <w:lvl w:ilvl="0">
      <w:lvlJc w:val="left"/>
      <w:lvlText w:val="(%1)"/>
      <w:numFmt w:val="upperLetter"/>
      <w:start w:val="27"/>
    </w:lvl>
  </w:abstractNum>
  <w:abstractNum w:abstractNumId="164">
    <w:nsid w:val="744939A3"/>
    <w:multiLevelType w:val="hybridMultilevel"/>
    <w:lvl w:ilvl="0">
      <w:lvlJc w:val="left"/>
      <w:lvlText w:val="(%1)"/>
      <w:numFmt w:val="decimal"/>
      <w:start w:val="1"/>
    </w:lvl>
  </w:abstractNum>
  <w:abstractNum w:abstractNumId="165">
    <w:nsid w:val="4FA0D2E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jpe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35" Type="http://schemas.openxmlformats.org/officeDocument/2006/relationships/hyperlink" Target="https://www.sec.gov/Archives/edgar/data/2097725/000119312526129446/ck0002097725-ex4_1.htm" TargetMode="External"/><Relationship Id="rId36" Type="http://schemas.openxmlformats.org/officeDocument/2006/relationships/hyperlink" Target="https://www.sec.gov/Archives/edgar/data/2097725/000119312526129446/ck0002097725-20260327.htm#annex_a" TargetMode="External"/><Relationship Id="rId37" Type="http://schemas.openxmlformats.org/officeDocument/2006/relationships/hyperlink" Target="https://www.sec.gov/Archives/edgar/data/2097725/000119312526129446/ck0002097725-20260327.htm#annex_b" TargetMode="External"/><Relationship Id="rId38" Type="http://schemas.openxmlformats.org/officeDocument/2006/relationships/hyperlink" Target="https://www.sec.gov/Archives/edgar/data/2097725/000119312526129446/ck0002097725-20260327.htm#annex_c" TargetMode="External"/><Relationship Id="rId39" Type="http://schemas.openxmlformats.org/officeDocument/2006/relationships/hyperlink" Target="https://www.sec.gov/Archives/edgar/data/2097725/000119312526129446/ck0002097725-ex10_5.htm" TargetMode="External"/><Relationship Id="rId40" Type="http://schemas.openxmlformats.org/officeDocument/2006/relationships/hyperlink" Target="https://www.sec.gov/Archives/edgar/data/2097725/000119312526129446/ck0002097725-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2026-05-21T15:02:24Z</dcterms:created>
  <dcterms:modified xsi:type="dcterms:W3CDTF">2026-05-21T15:02:24Z</dcterms:modified>
</cp:coreProperties>
</file>