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Stotz Manuel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AIR GLOBAL PLC, FESTIVAL OFFICE</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DUBAI FESTIVAL CITY,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AIR Global PLC</w:t>
              </w:r>
            </w:hyperlink>
            <w:r>
              <w:rPr/>
              <w:t xml:space="preserve"> [ </w:t>
            </w:r>
            <w:r>
              <w:rPr>
                <w:rFonts w:ascii="Times;serif" w:hAnsi="Times;serif"/>
                <w:color w:val="0000FF"/>
                <w:sz w:val="24"/>
                <w:shd w:fill="FFFFFF" w:val="clear"/>
              </w:rPr>
              <w:t>AIIR</w:t>
            </w:r>
            <w:r>
              <w:rPr/>
              <w:t xml:space="preserve"> ] </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2"/>
        <w:gridCol w:w="1965"/>
        <w:gridCol w:w="1165"/>
        <w:gridCol w:w="266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46,876,625</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Kingsway Fund - Frontier Consumer Franchises</w:t>
            </w:r>
            <w:r>
              <w:rPr>
                <w:rFonts w:ascii="Times;serif" w:hAnsi="Times;serif"/>
                <w:color w:val="008000"/>
                <w:position w:val="7"/>
                <w:sz w:val="16"/>
                <w:sz w:val="20"/>
                <w:shd w:fill="FFFFFF" w:val="clear"/>
              </w:rPr>
              <w:t>(6)</w:t>
            </w:r>
            <w:r>
              <w:rPr/>
              <w:t xml:space="preserve"> </w:t>
            </w:r>
          </w:p>
        </w:tc>
      </w:tr>
      <w:tr>
        <w:trPr/>
        <w:tc>
          <w:tcPr>
            <w:tcW w:w="44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30,921,786</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Kingsway FCF Overflow SPC - Segregated Portfolio One</w:t>
            </w:r>
            <w:r>
              <w:rPr>
                <w:rFonts w:ascii="Times;serif" w:hAnsi="Times;serif"/>
                <w:color w:val="008000"/>
                <w:position w:val="7"/>
                <w:sz w:val="16"/>
                <w:sz w:val="20"/>
                <w:shd w:fill="FFFFFF" w:val="clear"/>
              </w:rPr>
              <w:t>(6)</w:t>
            </w:r>
            <w:r>
              <w:rPr/>
              <w:t xml:space="preserve"> </w:t>
            </w:r>
          </w:p>
        </w:tc>
      </w:tr>
      <w:tr>
        <w:trPr/>
        <w:tc>
          <w:tcPr>
            <w:tcW w:w="44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2,567,069</w:t>
            </w:r>
            <w:r>
              <w:rPr>
                <w:rFonts w:ascii="Times;serif" w:hAnsi="Times;serif"/>
                <w:color w:val="008000"/>
                <w:position w:val="7"/>
                <w:sz w:val="16"/>
                <w:sz w:val="20"/>
                <w:shd w:fill="FFFFFF" w:val="clear"/>
              </w:rPr>
              <w:t>(3)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Kingsway FCF Overflow SPC - Segregated Portfolio Two</w:t>
            </w:r>
            <w:r>
              <w:rPr>
                <w:rFonts w:ascii="Times;serif" w:hAnsi="Times;serif"/>
                <w:color w:val="008000"/>
                <w:position w:val="7"/>
                <w:sz w:val="16"/>
                <w:sz w:val="20"/>
                <w:shd w:fill="FFFFFF" w:val="clear"/>
              </w:rPr>
              <w:t>(6)</w:t>
            </w:r>
            <w:r>
              <w:rPr/>
              <w:t xml:space="preserve"> </w:t>
            </w:r>
          </w:p>
        </w:tc>
      </w:tr>
      <w:tr>
        <w:trPr/>
        <w:tc>
          <w:tcPr>
            <w:tcW w:w="441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6,064,204</w:t>
            </w:r>
            <w:r>
              <w:rPr>
                <w:rFonts w:ascii="Times;serif" w:hAnsi="Times;serif"/>
                <w:color w:val="008000"/>
                <w:position w:val="7"/>
                <w:sz w:val="16"/>
                <w:sz w:val="20"/>
                <w:shd w:fill="FFFFFF" w:val="clear"/>
              </w:rPr>
              <w:t>(4)</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Kingsway FCF Overflow SPC - Segregated Portfolio Five</w:t>
            </w:r>
            <w:r>
              <w:rPr>
                <w:rFonts w:ascii="Times;serif" w:hAnsi="Times;serif"/>
                <w:color w:val="008000"/>
                <w:position w:val="7"/>
                <w:sz w:val="16"/>
                <w:sz w:val="20"/>
                <w:shd w:fill="FFFFFF" w:val="clear"/>
              </w:rPr>
              <w:t>(6)</w:t>
            </w:r>
            <w:r>
              <w:rPr/>
              <w:t xml:space="preserve"> </w:t>
            </w:r>
          </w:p>
        </w:tc>
      </w:tr>
      <w:tr>
        <w:trPr/>
        <w:tc>
          <w:tcPr>
            <w:tcW w:w="441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10,974,695</w:t>
            </w:r>
            <w:r>
              <w:rPr>
                <w:rFonts w:ascii="Times;serif" w:hAnsi="Times;serif"/>
                <w:color w:val="008000"/>
                <w:position w:val="7"/>
                <w:sz w:val="16"/>
                <w:sz w:val="20"/>
                <w:shd w:fill="FFFFFF" w:val="clear"/>
              </w:rPr>
              <w:t>(5)</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Kingsway FCF Overflow SPC - Segregated Portfolio Six</w:t>
            </w:r>
            <w:r>
              <w:rPr>
                <w:rFonts w:ascii="Times;serif" w:hAnsi="Times;serif"/>
                <w:color w:val="008000"/>
                <w:position w:val="7"/>
                <w:sz w:val="16"/>
                <w:sz w:val="20"/>
                <w:shd w:fill="FFFFFF" w:val="clear"/>
              </w:rPr>
              <w:t>(6)</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2,232,220 Ordinary Shares subject to earnout conditions ("Earnout Shares"). The Earnout Shares will vest upon the earlier to occur of: (i) the closing price of the AIR Global PLC ordinary shares is at or above $12.50 for 20 trading days over a consecutive 30-day period during the Earnout Period, and (ii) certain early release events, including an AIR Global PLC merger, consolidation or reorganization in which the AIR Global PLC ordinary shares are converted or exchanged for the right to receive cash or registered publicly listed securities equal to or exceeding $12.50 per ordinary share. Any Earnout Shares that have not vested by May 14, 2031 will be forfeited. . See footnote (6) for a description of AIR Earnout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1,472,466 Earnout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122,241 Earnout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288,771 Earnout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522,604 Earnout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Kingsway Capital Partners Limited (the "Investment Manager"), serves as the investment manager to each of the Kingsway Fund - Frontier Consumer Franchises, Kingsway FCF Overflow SPC - Segregated Portfolio One, Kingsway FCF Overflow SPC - Segregated Portfolio Two, Kingsway FCF Overflow SPC - Segregated Portfolio Five, and Kingsway FCF Overflow SPC - Segregated Portfolio Six (collectively, the "Kingsway Entities"). The Reporting Person is the Chief Executive Officer of the Investment Manager. The Investment Manager may be deemed to be the beneficial owner of all of the ordinary shares held by the Kingsway Entities. The Reporting Person, as Chief Executive Officer of the Investment Manager with the power to exercise investment discretion, may be deemed to be the beneficial owner of all of the ordinary shares held by the Kingsway Entities.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Mary-Ann Orr, as Attorney-in-Fact for Manuel Stotz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smallCaps/>
          <w:color w:val="000000"/>
          <w:sz w:val="20"/>
        </w:rPr>
      </w:pPr>
      <w:bookmarkStart w:id="2" w:name="ck0002097725-ex24.htm"/>
      <w:bookmarkStart w:id="3" w:name="ksck0002097725ex24"/>
      <w:bookmarkEnd w:id="2"/>
      <w:bookmarkEnd w:id="3"/>
      <w:r>
        <w:rPr>
          <w:rFonts w:ascii="Times New Roman" w:hAnsi="Times New Roman"/>
          <w:b/>
          <w:smallCaps/>
          <w:color w:val="000000"/>
          <w:sz w:val="20"/>
        </w:rPr>
        <w:t>Exhibit 24</w:t>
      </w:r>
      <w:r>
        <w:br w:type="page"/>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SECTION 16 AND FORM 144</w:t>
        <w:b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With respect to holdings of and transactions in securities issued by AIR Global PLC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xml:space="preserve">), the undersigned hereby constitutes and appoints the individuals named on </w:t>
      </w:r>
      <w:r>
        <w:rPr>
          <w:rFonts w:ascii="Times New Roman" w:hAnsi="Times New Roman"/>
          <w:b/>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both"/>
        <w:rPr/>
      </w:pPr>
      <w:r>
        <w:rPr>
          <w:rFonts w:ascii="Times New Roman" w:hAnsi="Times New Roman"/>
          <w:color w:val="000000"/>
          <w:sz w:val="22"/>
        </w:rPr>
        <w:t>execute for and on behalf of the undersigned, Schedules 13D and 13G in accordance with Section 13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 w:hAnsi="Times New Roman"/>
          <w:b/>
          <w:i/>
          <w:color w:val="000000"/>
          <w:sz w:val="22"/>
        </w:rPr>
        <w:t>Form 144”</w:t>
      </w:r>
      <w:r>
        <w:rPr>
          <w:rFonts w:ascii="Times New Roman" w:hAnsi="Times New Roman"/>
          <w:color w:val="000000"/>
          <w:sz w:val="22"/>
        </w:rPr>
        <w:t>), in accordance with the requirements of Rule 144 under the Securities Act of 1933, as amended (the “</w:t>
      </w:r>
      <w:r>
        <w:rPr>
          <w:rFonts w:ascii="Times New Roman" w:hAnsi="Times New Roman"/>
          <w:b/>
          <w:i/>
          <w:color w:val="000000"/>
          <w:sz w:val="22"/>
        </w:rPr>
        <w:t>Securities Act</w:t>
      </w:r>
      <w:r>
        <w:rPr>
          <w:color w:val="000000"/>
        </w:rPr>
        <w:t>”</w:t>
      </w:r>
      <w:r>
        <w:rPr>
          <w:rFonts w:ascii="Times New Roman" w:hAnsi="Times New Roman"/>
          <w:color w:val="000000"/>
          <w:sz w:val="22"/>
        </w:rPr>
        <w:t>);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pPr>
      <w:r>
        <w:rPr/>
        <w:t> </w:t>
      </w:r>
    </w:p>
    <w:p>
      <w:pPr>
        <w:pStyle w:val="TextBody"/>
        <w:pBdr>
          <w:bottom w:val="single" w:sz="4" w:space="1" w:color="000000"/>
        </w:pBdr>
        <w:bidi w:val="0"/>
        <w:jc w:val="both"/>
        <w:rPr>
          <w:rFonts w:ascii="Times New Roman" w:hAnsi="Times New Roman"/>
          <w:sz w:val="20"/>
        </w:rPr>
      </w:pPr>
      <w:r>
        <w:rPr>
          <w:rFonts w:ascii="Times New Roman" w:hAnsi="Times New Roman"/>
          <w:color w:val="000000"/>
          <w:sz w:val="22"/>
        </w:rPr>
        <w:t xml:space="preserve">IN WITNESS WHEREOF, the undersigned has caused this Power of Attorney to be executed as of </w:t>
      </w:r>
      <w:r>
        <w:rPr>
          <w:rFonts w:ascii="Times New Roman" w:hAnsi="Times New Roman"/>
          <w:color w:val="000000"/>
          <w:sz w:val="18"/>
        </w:rPr>
        <w:t>05/13/2026</w:t>
      </w:r>
    </w:p>
    <w:p>
      <w:pPr>
        <w:pStyle w:val="TextBody"/>
        <w:bidi w:val="0"/>
        <w:jc w:val="both"/>
        <w:rPr/>
      </w:pPr>
      <w:r>
        <w:rPr/>
        <w:t> </w:t>
      </w:r>
    </w:p>
    <w:p>
      <w:pPr>
        <w:pStyle w:val="TextBody"/>
        <w:bidi w:val="0"/>
        <w:jc w:val="both"/>
        <w:rPr/>
      </w:pPr>
      <w:r>
        <w:rPr/>
        <w:t> </w:t>
      </w:r>
    </w:p>
    <w:tbl>
      <w:tblPr>
        <w:tblW w:w="1812" w:type="dxa"/>
        <w:jc w:val="left"/>
        <w:tblInd w:w="0" w:type="dxa"/>
        <w:tblLayout w:type="fixed"/>
        <w:tblCellMar>
          <w:top w:w="28" w:type="dxa"/>
          <w:left w:w="28" w:type="dxa"/>
          <w:bottom w:w="28" w:type="dxa"/>
          <w:right w:w="28" w:type="dxa"/>
        </w:tblCellMar>
      </w:tblPr>
      <w:tblGrid>
        <w:gridCol w:w="161"/>
        <w:gridCol w:w="1651"/>
      </w:tblGrid>
      <w:tr>
        <w:trPr/>
        <w:tc>
          <w:tcPr>
            <w:tcW w:w="16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Manuel Stotz</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Manuel Stotz</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INDIVIDUALS APPOINTED AS ATTORNEY-IN-FACT,</w:t>
      </w:r>
    </w:p>
    <w:p>
      <w:pPr>
        <w:pStyle w:val="TextBody"/>
        <w:bidi w:val="0"/>
        <w:jc w:val="center"/>
        <w:rPr>
          <w:rFonts w:ascii="Times New Roman" w:hAnsi="Times New Roman"/>
          <w:b/>
          <w:color w:val="000000"/>
          <w:sz w:val="22"/>
        </w:rPr>
      </w:pPr>
      <w:r>
        <w:rPr>
          <w:rFonts w:ascii="Times New Roman" w:hAnsi="Times New Roman"/>
          <w:b/>
          <w:color w:val="000000"/>
          <w:sz w:val="22"/>
        </w:rPr>
        <w:t>WITH FULL POWER OF SUBSTITUTION AND RESUBSTITUTION</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1. Bassem Lotfy, Chief Financial Officer of the Company</w:t>
      </w:r>
    </w:p>
    <w:p>
      <w:pPr>
        <w:pStyle w:val="TextBody"/>
        <w:bidi w:val="0"/>
        <w:jc w:val="left"/>
        <w:rPr>
          <w:rFonts w:ascii="Times New Roman" w:hAnsi="Times New Roman"/>
          <w:color w:val="000000"/>
          <w:sz w:val="22"/>
        </w:rPr>
      </w:pPr>
      <w:r>
        <w:rPr>
          <w:rFonts w:ascii="Times New Roman" w:hAnsi="Times New Roman"/>
          <w:color w:val="000000"/>
          <w:sz w:val="22"/>
        </w:rPr>
        <w:t>2. Ronan Barry, Chief Legal and Corporate Affairs Officer of the Company</w:t>
      </w:r>
    </w:p>
    <w:p>
      <w:pPr>
        <w:pStyle w:val="TextBody"/>
        <w:bidi w:val="0"/>
        <w:jc w:val="left"/>
        <w:rPr>
          <w:rFonts w:ascii="Times New Roman" w:hAnsi="Times New Roman"/>
          <w:color w:val="000000"/>
          <w:sz w:val="22"/>
        </w:rPr>
      </w:pPr>
      <w:r>
        <w:rPr>
          <w:rFonts w:ascii="Times New Roman" w:hAnsi="Times New Roman"/>
          <w:color w:val="000000"/>
          <w:sz w:val="22"/>
        </w:rPr>
        <w:t>3. Mary-Ann Orr, Company Secretary of the Company</w:t>
      </w:r>
    </w:p>
    <w:p>
      <w:pPr>
        <w:pStyle w:val="TextBody"/>
        <w:bidi w:val="0"/>
        <w:jc w:val="left"/>
        <w:rPr>
          <w:rFonts w:ascii="Times New Roman" w:hAnsi="Times New Roman"/>
          <w:color w:val="000000"/>
          <w:sz w:val="22"/>
        </w:rPr>
      </w:pPr>
      <w:r>
        <w:rPr>
          <w:rFonts w:ascii="Times New Roman" w:hAnsi="Times New Roman"/>
          <w:color w:val="000000"/>
          <w:sz w:val="22"/>
        </w:rPr>
        <w:t>4. Benjamin Long, Group Financial Controller of the Company</w:t>
      </w:r>
    </w:p>
    <w:p>
      <w:pPr>
        <w:pStyle w:val="TextBody"/>
        <w:bidi w:val="0"/>
        <w:jc w:val="left"/>
        <w:rPr>
          <w:rFonts w:ascii="Times New Roman" w:hAnsi="Times New Roman"/>
          <w:color w:val="000000"/>
          <w:sz w:val="22"/>
        </w:rPr>
      </w:pPr>
      <w:r>
        <w:rPr>
          <w:rFonts w:ascii="Times New Roman" w:hAnsi="Times New Roman"/>
          <w:color w:val="000000"/>
          <w:sz w:val="22"/>
        </w:rPr>
        <w:t>5. Marc Burrows, Assistant Company Secretary of the Company</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53406" TargetMode="External"/><Relationship Id="rId3" Type="http://schemas.openxmlformats.org/officeDocument/2006/relationships/hyperlink" Target="http://www.sec.gov/cgi-bin/browse-edgar?action=getcompany&amp;CIK=00020977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1276</Words>
  <Characters>6819</Characters>
  <CharactersWithSpaces>8043</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