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Filed by AIR Holdings Ltd.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pursuant to Rule 425 under the Securities Act of 1933</w:t>
      </w:r>
    </w:p>
    <w:p>
      <w:pPr>
        <w:jc w:val="right"/>
        <w:ind w:right="65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and deemed filed pursuant to Rule 14a-12</w:t>
      </w:r>
    </w:p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Subject Companies: AIR Limited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Cantor Equity Partners III, Inc., Commission File No. 001-42716</w:t>
      </w:r>
    </w:p>
    <w:p>
      <w:pPr>
        <w:jc w:val="right"/>
        <w:ind w:right="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Date: April 14, 2026</w:t>
      </w:r>
    </w:p>
    <w:p>
      <w:pPr>
        <w:sectPr>
          <w:pgSz w:w="11900" w:h="16838" w:orient="portrait"/>
          <w:cols w:equalWidth="0" w:num="1">
            <w:col w:w="9019"/>
          </w:cols>
          <w:pgMar w:left="1440" w:top="193" w:right="1440" w:bottom="1440" w:gutter="0" w:footer="0" w:header="0"/>
        </w:sectPr>
      </w:pPr>
    </w:p>
    <w:bookmarkStart w:id="1" w:name="page2"/>
    <w:bookmarkEnd w:id="1"/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1060" cy="30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06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412750</wp:posOffset>
            </wp:positionH>
            <wp:positionV relativeFrom="paragraph">
              <wp:posOffset>125730</wp:posOffset>
            </wp:positionV>
            <wp:extent cx="6076950" cy="4030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03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29" w:right="1440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09638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2026-04-14T07:56:18Z</dcterms:created>
  <dcterms:modified xsi:type="dcterms:W3CDTF">2026-04-14T07:56:18Z</dcterms:modified>
</cp:coreProperties>
</file>