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6480" w:right="0" w:firstLine="720"/>
        <w:jc w:val="right"/>
        <w:rPr>
          <w:rFonts w:ascii="Times New Roman" w:hAnsi="Times New Roman"/>
          <w:sz w:val="20"/>
        </w:rPr>
      </w:pPr>
      <w:bookmarkStart w:id="0" w:name="prosupp_-_earnings_mater.htm"/>
      <w:bookmarkStart w:id="1" w:name="ksprosupp__earnings_mater"/>
      <w:bookmarkEnd w:id="0"/>
      <w:bookmarkEnd w:id="1"/>
      <w:r>
        <w:rPr>
          <w:rFonts w:ascii="sans-serif" w:hAnsi="sans-serif"/>
          <w:b/>
          <w:color w:val="000000"/>
          <w:sz w:val="22"/>
        </w:rPr>
        <w:t>Filed Pursuant to Rule 424(b)(3)</w:t>
      </w:r>
      <w:r>
        <w:rPr>
          <w:rFonts w:ascii="Times New Roman" w:hAnsi="Times New Roman"/>
          <w:color w:val="000000"/>
          <w:sz w:val="20"/>
        </w:rPr>
        <w:t xml:space="preserve"> </w:t>
      </w:r>
    </w:p>
    <w:p>
      <w:pPr>
        <w:pStyle w:val="TextBody"/>
        <w:bidi w:val="0"/>
        <w:ind w:left="7920" w:right="0" w:hanging="0"/>
        <w:jc w:val="right"/>
        <w:rPr>
          <w:rFonts w:ascii="sans-serif" w:hAnsi="sans-serif"/>
          <w:b/>
          <w:color w:val="000000"/>
          <w:sz w:val="22"/>
        </w:rPr>
      </w:pPr>
      <w:r>
        <w:rPr>
          <w:rFonts w:ascii="sans-serif" w:hAnsi="sans-serif"/>
          <w:b/>
          <w:color w:val="000000"/>
          <w:sz w:val="22"/>
        </w:rPr>
        <w:t>Registration No. 333-294714</w:t>
      </w:r>
    </w:p>
    <w:p>
      <w:pPr>
        <w:pStyle w:val="TextBody"/>
        <w:bidi w:val="0"/>
        <w:jc w:val="left"/>
        <w:rPr>
          <w:rFonts w:ascii="sans-serif" w:hAnsi="sans-serif"/>
          <w:b/>
          <w:color w:val="000000"/>
          <w:sz w:val="22"/>
        </w:rPr>
      </w:pPr>
      <w:r>
        <w:rPr>
          <w:rFonts w:ascii="sans-serif" w:hAnsi="sans-serif"/>
          <w:b/>
          <w:color w:val="000000"/>
          <w:sz w:val="22"/>
        </w:rPr>
        <w:t>Prospectus Supplement No. 3</w:t>
      </w:r>
    </w:p>
    <w:p>
      <w:pPr>
        <w:pStyle w:val="TextBody"/>
        <w:bidi w:val="0"/>
        <w:jc w:val="left"/>
        <w:rPr>
          <w:rFonts w:ascii="sans-serif" w:hAnsi="sans-serif"/>
          <w:b/>
          <w:color w:val="000000"/>
          <w:sz w:val="22"/>
        </w:rPr>
      </w:pPr>
      <w:r>
        <w:rPr>
          <w:rFonts w:ascii="sans-serif" w:hAnsi="sans-serif"/>
          <w:b/>
          <w:color w:val="000000"/>
          <w:sz w:val="22"/>
        </w:rPr>
        <w:t>(to Prospectus dated April 22, 2026)</w:t>
      </w:r>
    </w:p>
    <w:p>
      <w:pPr>
        <w:pStyle w:val="TextBody"/>
        <w:bidi w:val="0"/>
        <w:jc w:val="center"/>
        <w:rPr/>
      </w:pPr>
      <w:r>
        <w:rPr/>
        <w:drawing>
          <wp:inline distT="0" distB="0" distL="0" distR="0">
            <wp:extent cx="19335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666750"/>
                    </a:xfrm>
                    <a:prstGeom prst="rect">
                      <a:avLst/>
                    </a:prstGeom>
                  </pic:spPr>
                </pic:pic>
              </a:graphicData>
            </a:graphic>
          </wp:inline>
        </w:drawing>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sans-serif" w:hAnsi="sans-serif"/>
          <w:b/>
          <w:color w:val="000000"/>
          <w:sz w:val="22"/>
        </w:rPr>
        <w:t>UP TO 30,221,578 ORDINARY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2"/>
        </w:rPr>
        <w:t>OF</w:t>
      </w:r>
      <w:r>
        <w:rPr>
          <w:rFonts w:ascii="Times New Roman" w:hAnsi="Times New Roman"/>
          <w:color w:val="000000"/>
          <w:sz w:val="20"/>
        </w:rPr>
        <w:t xml:space="preserve"> </w:t>
      </w:r>
    </w:p>
    <w:p>
      <w:pPr>
        <w:pStyle w:val="TextBody"/>
        <w:bidi w:val="0"/>
        <w:spacing w:before="240" w:after="283"/>
        <w:jc w:val="center"/>
        <w:rPr>
          <w:rFonts w:ascii="sans-serif" w:hAnsi="sans-serif"/>
          <w:b/>
          <w:color w:val="000000"/>
          <w:sz w:val="22"/>
        </w:rPr>
      </w:pPr>
      <w:r>
        <w:rPr>
          <w:rFonts w:ascii="sans-serif" w:hAnsi="sans-serif"/>
          <w:b/>
          <w:color w:val="000000"/>
          <w:sz w:val="22"/>
        </w:rPr>
        <w:t>AIR GLOBAL PLC</w:t>
      </w:r>
    </w:p>
    <w:p>
      <w:pPr>
        <w:pStyle w:val="TextBody"/>
        <w:bidi w:val="0"/>
        <w:spacing w:before="200" w:after="283"/>
        <w:ind w:left="0" w:right="0" w:firstLine="720"/>
        <w:jc w:val="both"/>
        <w:rPr>
          <w:rFonts w:ascii="sans-serif" w:hAnsi="sans-serif"/>
          <w:color w:val="000000"/>
          <w:sz w:val="22"/>
        </w:rPr>
      </w:pPr>
      <w:r>
        <w:rPr>
          <w:rFonts w:ascii="sans-serif" w:hAnsi="sans-serif"/>
          <w:color w:val="000000"/>
          <w:sz w:val="22"/>
        </w:rPr>
        <w:t>This prospectus supplement amends and supplements the prospectus dated April 22, 2026 (the “Prospectus”), which forms part of our registration statement on Form F-4 (No. 333-294714). This prospectus supplement is being filed to update, amend and supplement the information included in the Prospectus with the information attached to this prospectus supplement.</w:t>
      </w:r>
    </w:p>
    <w:p>
      <w:pPr>
        <w:pStyle w:val="TextBody"/>
        <w:bidi w:val="0"/>
        <w:spacing w:before="200" w:after="283"/>
        <w:ind w:left="0" w:right="0" w:firstLine="720"/>
        <w:jc w:val="both"/>
        <w:rPr>
          <w:rFonts w:ascii="sans-serif" w:hAnsi="sans-serif"/>
          <w:color w:val="000000"/>
          <w:sz w:val="22"/>
        </w:rPr>
      </w:pPr>
      <w:r>
        <w:rPr>
          <w:rFonts w:ascii="sans-serif" w:hAnsi="sans-serif"/>
          <w:color w:val="000000"/>
          <w:sz w:val="22"/>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200" w:after="283"/>
        <w:ind w:left="0" w:right="0" w:firstLine="720"/>
        <w:jc w:val="both"/>
        <w:rPr>
          <w:rFonts w:ascii="Times New Roman" w:hAnsi="Times New Roman"/>
          <w:sz w:val="20"/>
        </w:rPr>
      </w:pPr>
      <w:r>
        <w:rPr>
          <w:rFonts w:ascii="sans-serif" w:hAnsi="sans-serif"/>
          <w:color w:val="000000"/>
          <w:sz w:val="22"/>
        </w:rPr>
        <w:t>Our ordinary shares are listed on the Nasdaq Global Market (“</w:t>
      </w:r>
      <w:r>
        <w:rPr>
          <w:rFonts w:ascii="sans-serif" w:hAnsi="sans-serif"/>
          <w:b/>
          <w:color w:val="1B1A18"/>
          <w:sz w:val="22"/>
        </w:rPr>
        <w:t>Nasdaq</w:t>
      </w:r>
      <w:r>
        <w:rPr>
          <w:rFonts w:ascii="Times New Roman" w:hAnsi="Times New Roman"/>
          <w:color w:val="000000"/>
          <w:sz w:val="20"/>
        </w:rPr>
        <w:t>”</w:t>
      </w:r>
      <w:r>
        <w:rPr>
          <w:rFonts w:ascii="sans-serif" w:hAnsi="sans-serif"/>
          <w:color w:val="000000"/>
          <w:sz w:val="22"/>
        </w:rPr>
        <w:t>) under the symbol “AIIR.” On August 19, 2026, the last reported sale price of our ordinary shares as reported on Nasdaq was $7.75 per share.</w:t>
      </w:r>
    </w:p>
    <w:p>
      <w:pPr>
        <w:pStyle w:val="TextBody"/>
        <w:bidi w:val="0"/>
        <w:spacing w:before="200" w:after="283"/>
        <w:ind w:left="0" w:right="0" w:firstLine="720"/>
        <w:jc w:val="left"/>
        <w:rPr>
          <w:rFonts w:ascii="Times New Roman" w:hAnsi="Times New Roman"/>
          <w:sz w:val="20"/>
        </w:rPr>
      </w:pPr>
      <w:r>
        <w:rPr>
          <w:rFonts w:ascii="sans-serif" w:hAnsi="sans-serif"/>
          <w:b/>
          <w:color w:val="000000"/>
          <w:sz w:val="22"/>
        </w:rPr>
        <w:t xml:space="preserve">Investing in our securities involves a high degree of risk. See </w:t>
      </w:r>
      <w:r>
        <w:rPr>
          <w:rFonts w:ascii="Times New Roman" w:hAnsi="Times New Roman"/>
          <w:color w:val="000000"/>
          <w:sz w:val="20"/>
        </w:rPr>
        <w:t>“</w:t>
      </w:r>
      <w:r>
        <w:rPr>
          <w:rFonts w:ascii="sans-serif" w:hAnsi="sans-serif"/>
          <w:b/>
          <w:i/>
          <w:color w:val="1B1A18"/>
          <w:sz w:val="22"/>
        </w:rPr>
        <w:t>Risk Factors</w:t>
      </w:r>
      <w:r>
        <w:rPr>
          <w:rFonts w:ascii="Times New Roman" w:hAnsi="Times New Roman"/>
          <w:color w:val="000000"/>
          <w:sz w:val="20"/>
        </w:rPr>
        <w:t xml:space="preserve">” </w:t>
      </w:r>
      <w:r>
        <w:rPr>
          <w:rFonts w:ascii="sans-serif" w:hAnsi="sans-serif"/>
          <w:b/>
          <w:color w:val="000000"/>
          <w:sz w:val="22"/>
        </w:rPr>
        <w:t>beginning on page 47 of the Prospectus for a discussion of information that should be considered in connection with an investment in our securities.</w:t>
      </w:r>
    </w:p>
    <w:p>
      <w:pPr>
        <w:pStyle w:val="TextBody"/>
        <w:bidi w:val="0"/>
        <w:spacing w:before="200" w:after="283"/>
        <w:ind w:left="720" w:right="0" w:firstLine="720"/>
        <w:jc w:val="left"/>
        <w:rPr>
          <w:rFonts w:ascii="sans-serif" w:hAnsi="sans-serif"/>
          <w:b/>
          <w:color w:val="000000"/>
          <w:sz w:val="22"/>
        </w:rPr>
      </w:pPr>
      <w:r>
        <w:rPr>
          <w:rFonts w:ascii="sans-serif" w:hAnsi="sans-serif"/>
          <w:b/>
          <w:color w:val="000000"/>
          <w:sz w:val="22"/>
        </w:rPr>
        <w:t>Neither the SEC nor any state securities commission has approved or disapproved of these securities or passed upon the adequacy or accuracy of the Prospectus or this prospectus supplement. Any representation to the contrary is a criminal offense.</w:t>
      </w:r>
    </w:p>
    <w:p>
      <w:pPr>
        <w:pStyle w:val="TextBody"/>
        <w:bidi w:val="0"/>
        <w:spacing w:before="200" w:after="283"/>
        <w:jc w:val="center"/>
        <w:rPr>
          <w:rFonts w:ascii="sans-serif" w:hAnsi="sans-serif"/>
          <w:b/>
          <w:color w:val="1B1A18"/>
          <w:sz w:val="22"/>
        </w:rPr>
      </w:pPr>
      <w:r>
        <w:rPr>
          <w:rFonts w:ascii="sans-serif" w:hAnsi="sans-serif"/>
          <w:b/>
          <w:color w:val="1B1A18"/>
          <w:sz w:val="22"/>
        </w:rPr>
        <w:t>The date of this prospectus supplement is August 20,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sans-serif" w:hAnsi="sans-serif"/>
          <w:b/>
          <w:color w:val="000000"/>
          <w:sz w:val="22"/>
        </w:rPr>
      </w:pPr>
      <w:r>
        <w:rPr>
          <w:rFonts w:ascii="sans-serif" w:hAnsi="sans-serif"/>
          <w:b/>
          <w:color w:val="000000"/>
          <w:sz w:val="22"/>
        </w:rPr>
        <w:t>FIRST-HALF 2026 EARNINGS RELEASE</w:t>
      </w:r>
    </w:p>
    <w:p>
      <w:pPr>
        <w:pStyle w:val="TextBody"/>
        <w:bidi w:val="0"/>
        <w:spacing w:before="200" w:after="283"/>
        <w:jc w:val="center"/>
        <w:rPr>
          <w:rFonts w:ascii="sans-serif" w:hAnsi="sans-serif"/>
          <w:b/>
          <w:color w:val="000000"/>
          <w:sz w:val="22"/>
        </w:rPr>
      </w:pPr>
      <w:r>
        <w:rPr>
          <w:rFonts w:ascii="sans-serif" w:hAnsi="sans-serif"/>
          <w:b/>
          <w:color w:val="000000"/>
          <w:sz w:val="22"/>
        </w:rPr>
        <w:t>Results Highlights – H1’26</w:t>
      </w:r>
    </w:p>
    <w:p>
      <w:pPr>
        <w:pStyle w:val="TextBody"/>
        <w:bidi w:val="0"/>
        <w:jc w:val="left"/>
        <w:rPr/>
      </w:pPr>
      <w:r>
        <w:rPr/>
        <w:t> </w:t>
      </w:r>
    </w:p>
    <w:tbl>
      <w:tblPr>
        <w:tblW w:w="7117" w:type="dxa"/>
        <w:jc w:val="left"/>
        <w:tblInd w:w="0" w:type="dxa"/>
        <w:tblLayout w:type="fixed"/>
        <w:tblCellMar>
          <w:top w:w="28" w:type="dxa"/>
          <w:left w:w="28" w:type="dxa"/>
          <w:bottom w:w="28" w:type="dxa"/>
          <w:right w:w="28" w:type="dxa"/>
        </w:tblCellMar>
      </w:tblPr>
      <w:tblGrid>
        <w:gridCol w:w="3871"/>
        <w:gridCol w:w="146"/>
        <w:gridCol w:w="841"/>
        <w:gridCol w:w="196"/>
        <w:gridCol w:w="146"/>
        <w:gridCol w:w="841"/>
        <w:gridCol w:w="146"/>
        <w:gridCol w:w="531"/>
        <w:gridCol w:w="399"/>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Metric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H1’26</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H1’25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YoY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7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Gross profit ($m)</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116.8</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39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(loss) / profit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NM</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 profit for the period ($m)</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(81.8</w:t>
            </w:r>
          </w:p>
        </w:tc>
        <w:tc>
          <w:tcPr>
            <w:tcW w:w="1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NM</w:t>
            </w:r>
          </w:p>
        </w:tc>
        <w:tc>
          <w:tcPr>
            <w:tcW w:w="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EBITDA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NM</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Adjusted EBITDA ($m)</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71.7</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39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Basic EPS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NM</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FSM shipment volumes declined 9.0% in H1'26. Global Travel Retail (GTR) volumes declined 46.5% - excluding GTR, FSM shipment volumes declined 6.6%.</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rFonts w:ascii="sans-serif" w:hAnsi="sans-serif"/>
          <w:color w:val="000000"/>
          <w:sz w:val="22"/>
        </w:rPr>
      </w:pPr>
      <w:r>
        <w:rPr>
          <w:rFonts w:ascii="sans-serif" w:hAnsi="sans-serif"/>
          <w:color w:val="000000"/>
          <w:sz w:val="22"/>
        </w:rPr>
        <w:t xml:space="preserve">Revenue increased 3.7% to $206.9 million, driven primarily by FSM revenue growth of 3.4% to $204.7 million. Price/mix growth was very strong at 14.0% due to accelerated pricing actions in H1'26 to offset cost inflation. Price/mix growth was especially strong in the MEAA region at 17.1%. </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rFonts w:ascii="sans-serif" w:hAnsi="sans-serif"/>
          <w:color w:val="000000"/>
          <w:sz w:val="22"/>
        </w:rPr>
      </w:pPr>
      <w:r>
        <w:rPr>
          <w:rFonts w:ascii="sans-serif" w:hAnsi="sans-serif"/>
          <w:color w:val="000000"/>
          <w:sz w:val="22"/>
        </w:rPr>
        <w:t>Net loss for the period was $81.8 million in the first half of 2026, heavily impacted by several one-time items, including:</w:t>
      </w:r>
    </w:p>
    <w:p>
      <w:pPr>
        <w:pStyle w:val="TextBody"/>
        <w:bidi w:val="0"/>
        <w:spacing w:before="180" w:after="283"/>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80" w:after="283"/>
        <w:jc w:val="both"/>
        <w:rPr>
          <w:rFonts w:ascii="sans-serif" w:hAnsi="sans-serif"/>
          <w:color w:val="000000"/>
          <w:sz w:val="22"/>
        </w:rPr>
      </w:pPr>
      <w:r>
        <w:rPr>
          <w:rFonts w:ascii="sans-serif" w:hAnsi="sans-serif"/>
          <w:color w:val="000000"/>
          <w:sz w:val="22"/>
        </w:rPr>
        <w:t>$48.2 million of a listing expense in accordance with accounting rules, mainly related to the 4.2 million shares issued to the SPAC sponsor at the time of listing (of which 2.7 million shares are vested, and 1.5 million shares remain subject to price-based earn-out provisions);</w:t>
      </w:r>
    </w:p>
    <w:p>
      <w:pPr>
        <w:pStyle w:val="TextBody"/>
        <w:bidi w:val="0"/>
        <w:spacing w:before="180" w:after="283"/>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80" w:after="283"/>
        <w:jc w:val="both"/>
        <w:rPr>
          <w:rFonts w:ascii="sans-serif" w:hAnsi="sans-serif"/>
          <w:color w:val="000000"/>
          <w:sz w:val="22"/>
        </w:rPr>
      </w:pPr>
      <w:r>
        <w:rPr>
          <w:rFonts w:ascii="sans-serif" w:hAnsi="sans-serif"/>
          <w:color w:val="000000"/>
          <w:sz w:val="22"/>
        </w:rPr>
        <w:t>$47.7 million of IPO-related cash costs;</w:t>
      </w:r>
    </w:p>
    <w:p>
      <w:pPr>
        <w:pStyle w:val="TextBody"/>
        <w:bidi w:val="0"/>
        <w:spacing w:before="180" w:after="283"/>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80" w:after="283"/>
        <w:jc w:val="both"/>
        <w:rPr>
          <w:rFonts w:ascii="sans-serif" w:hAnsi="sans-serif"/>
          <w:color w:val="000000"/>
          <w:sz w:val="22"/>
        </w:rPr>
      </w:pPr>
      <w:r>
        <w:rPr>
          <w:rFonts w:ascii="sans-serif" w:hAnsi="sans-serif"/>
          <w:color w:val="000000"/>
          <w:sz w:val="22"/>
        </w:rPr>
        <w:t>$12.4 million of non-cash share-based compensation expense;</w:t>
      </w:r>
    </w:p>
    <w:p>
      <w:pPr>
        <w:pStyle w:val="TextBody"/>
        <w:bidi w:val="0"/>
        <w:spacing w:before="180" w:after="283"/>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80" w:after="283"/>
        <w:jc w:val="both"/>
        <w:rPr>
          <w:rFonts w:ascii="sans-serif" w:hAnsi="sans-serif"/>
          <w:color w:val="000000"/>
          <w:sz w:val="22"/>
        </w:rPr>
      </w:pPr>
      <w:r>
        <w:rPr>
          <w:rFonts w:ascii="sans-serif" w:hAnsi="sans-serif"/>
          <w:color w:val="000000"/>
          <w:sz w:val="22"/>
        </w:rPr>
        <w:t>$7.4 million of other public company readiness costs;</w:t>
      </w:r>
    </w:p>
    <w:p>
      <w:pPr>
        <w:pStyle w:val="TextBody"/>
        <w:bidi w:val="0"/>
        <w:spacing w:before="180" w:after="283"/>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80" w:after="283"/>
        <w:jc w:val="both"/>
        <w:rPr>
          <w:rFonts w:ascii="sans-serif" w:hAnsi="sans-serif"/>
          <w:color w:val="000000"/>
          <w:sz w:val="22"/>
        </w:rPr>
      </w:pPr>
      <w:r>
        <w:rPr>
          <w:rFonts w:ascii="sans-serif" w:hAnsi="sans-serif"/>
          <w:color w:val="000000"/>
          <w:sz w:val="22"/>
        </w:rPr>
        <w:t>$3.8 million of supply chain-related costs resulting from the Strait of Hormuz disruption;</w:t>
      </w:r>
    </w:p>
    <w:p>
      <w:pPr>
        <w:pStyle w:val="TextBody"/>
        <w:bidi w:val="0"/>
        <w:spacing w:before="180" w:after="283"/>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80" w:after="283"/>
        <w:jc w:val="both"/>
        <w:rPr>
          <w:rFonts w:ascii="sans-serif" w:hAnsi="sans-serif"/>
          <w:color w:val="000000"/>
          <w:sz w:val="22"/>
        </w:rPr>
      </w:pPr>
      <w:r>
        <w:rPr>
          <w:rFonts w:ascii="sans-serif" w:hAnsi="sans-serif"/>
          <w:color w:val="000000"/>
          <w:sz w:val="22"/>
        </w:rPr>
        <w:t>$2.0 million in costs associated with the acceleration of Pre-Market Tobacco Application (“PMTA”) filings in the U.S. following changes to FDA enforcement guidance relating to nicotine vapes and pouches.</w:t>
      </w:r>
    </w:p>
    <w:p>
      <w:pPr>
        <w:pStyle w:val="TextBody"/>
        <w:bidi w:val="0"/>
        <w:spacing w:before="200" w:after="283"/>
        <w:ind w:left="360" w:right="0" w:hanging="0"/>
        <w:jc w:val="both"/>
        <w:rPr>
          <w:rFonts w:ascii="Times New Roman" w:hAnsi="Times New Roman"/>
          <w:sz w:val="20"/>
        </w:rPr>
      </w:pPr>
      <w:r>
        <w:rPr>
          <w:rFonts w:ascii="sans-serif" w:hAnsi="sans-serif"/>
          <w:color w:val="000000"/>
          <w:sz w:val="22"/>
        </w:rPr>
        <w:t>Net loss was also impacted by a 5.5% increase in costs of sales, primarily driven by the increase in revenue but also impacted by higher logistics and raw material costs associated with the Middle East conflict. Furthermore, net income reflects EBITDA</w:t>
      </w: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loss of $52.1 million in the first half of 2026.</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pPr>
      <w:r>
        <w:rPr>
          <w:rFonts w:ascii="sans-serif" w:hAnsi="sans-serif"/>
          <w:color w:val="000000"/>
          <w:sz w:val="22"/>
        </w:rPr>
        <w:t>Adjusted EBITDA</w:t>
      </w:r>
      <w:r>
        <w:rPr>
          <w:rFonts w:ascii="sans-serif" w:hAnsi="sans-serif"/>
          <w:color w:val="000000"/>
          <w:sz w:val="15"/>
        </w:rPr>
        <w:t>2</w:t>
      </w:r>
      <w:r>
        <w:rPr>
          <w:color w:val="000000"/>
        </w:rPr>
        <w:t xml:space="preserve"> </w:t>
      </w:r>
      <w:r>
        <w:rPr>
          <w:rFonts w:ascii="sans-serif" w:hAnsi="sans-serif"/>
          <w:color w:val="000000"/>
          <w:sz w:val="22"/>
        </w:rPr>
        <w:t>was $71.7 million in the first half of 2026, flat year-over-year, reflecting lower shipment volumes, higher logistics and raw material costs associated with the Middle East conflict, accelerated factory footprint changes resulting from the conflict, and incremental public company costs, partially offset by minor benefits from US tariff refunds and excise duty drawback.</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rFonts w:ascii="sans-serif" w:hAnsi="sans-serif"/>
          <w:color w:val="000000"/>
          <w:sz w:val="22"/>
        </w:rPr>
      </w:pPr>
      <w:r>
        <w:rPr>
          <w:rFonts w:ascii="sans-serif" w:hAnsi="sans-serif"/>
          <w:color w:val="000000"/>
          <w:sz w:val="22"/>
        </w:rPr>
        <w:t>Basic EPS was a loss of ($0.57) in H1'26.</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rFonts w:ascii="sans-serif" w:hAnsi="sans-serif"/>
          <w:color w:val="000000"/>
          <w:sz w:val="22"/>
        </w:rPr>
      </w:pPr>
      <w:r>
        <w:rPr>
          <w:rFonts w:ascii="sans-serif" w:hAnsi="sans-serif"/>
          <w:color w:val="000000"/>
          <w:sz w:val="22"/>
        </w:rPr>
        <w:t>FX impact was minimal. AIR operates its business largely in USD or USD pegged currencies.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2"/>
        </w:rPr>
      </w:pPr>
      <w:r>
        <w:rPr>
          <w:rFonts w:ascii="sans-serif" w:hAnsi="sans-serif"/>
          <w:b/>
          <w:color w:val="000000"/>
          <w:sz w:val="22"/>
        </w:rPr>
        <w:t>Business Review</w:t>
      </w:r>
    </w:p>
    <w:p>
      <w:pPr>
        <w:pStyle w:val="TextBody"/>
        <w:bidi w:val="0"/>
        <w:spacing w:before="200" w:after="283"/>
        <w:jc w:val="both"/>
        <w:rPr>
          <w:rFonts w:ascii="sans-serif" w:hAnsi="sans-serif"/>
          <w:b/>
          <w:color w:val="000000"/>
          <w:sz w:val="22"/>
        </w:rPr>
      </w:pPr>
      <w:r>
        <w:rPr>
          <w:rFonts w:ascii="sans-serif" w:hAnsi="sans-serif"/>
          <w:b/>
          <w:color w:val="000000"/>
          <w:sz w:val="22"/>
        </w:rPr>
        <w:t>Segment Reporting</w:t>
      </w:r>
    </w:p>
    <w:p>
      <w:pPr>
        <w:pStyle w:val="TextBody"/>
        <w:bidi w:val="0"/>
        <w:jc w:val="both"/>
        <w:rPr/>
      </w:pPr>
      <w:r>
        <w:rPr/>
        <w:t> </w:t>
      </w:r>
    </w:p>
    <w:tbl>
      <w:tblPr>
        <w:tblW w:w="7644" w:type="dxa"/>
        <w:jc w:val="left"/>
        <w:tblInd w:w="0" w:type="dxa"/>
        <w:tblLayout w:type="fixed"/>
        <w:tblCellMar>
          <w:top w:w="28" w:type="dxa"/>
          <w:left w:w="28" w:type="dxa"/>
          <w:bottom w:w="28" w:type="dxa"/>
          <w:right w:w="28" w:type="dxa"/>
        </w:tblCellMar>
      </w:tblPr>
      <w:tblGrid>
        <w:gridCol w:w="4291"/>
        <w:gridCol w:w="146"/>
        <w:gridCol w:w="826"/>
        <w:gridCol w:w="196"/>
        <w:gridCol w:w="146"/>
        <w:gridCol w:w="826"/>
        <w:gridCol w:w="146"/>
        <w:gridCol w:w="706"/>
        <w:gridCol w:w="36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b/>
                <w:i/>
                <w:color w:val="000000"/>
                <w:sz w:val="22"/>
              </w:rPr>
              <w:t>(in millions, except percentages</w:t>
            </w:r>
            <w:r>
              <w:rPr>
                <w:rFonts w:ascii="sans-serif" w:hAnsi="sans-serif"/>
                <w:i/>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H1'26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H1'25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YoY</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b/>
                <w:color w:val="000000"/>
                <w:sz w:val="22"/>
              </w:rPr>
            </w:pPr>
            <w:r>
              <w:rPr>
                <w:rFonts w:ascii="sans-serif" w:hAnsi="sans-serif"/>
                <w:b/>
                <w:color w:val="000000"/>
                <w:sz w:val="22"/>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FSM-Americas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42.8</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36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r>
      <w:tr>
        <w:trPr/>
        <w:tc>
          <w:tcPr>
            <w:tcW w:w="429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FSM-MEAA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136.7</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w:t>
            </w:r>
          </w:p>
        </w:tc>
        <w:tc>
          <w:tcPr>
            <w:tcW w:w="36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NGC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r>
      <w:tr>
        <w:trPr/>
        <w:tc>
          <w:tcPr>
            <w:tcW w:w="4291" w:type="dxa"/>
            <w:tcBorders/>
            <w:tcMar>
              <w:top w:w="0" w:type="dxa"/>
              <w:left w:w="0" w:type="dxa"/>
              <w:bottom w:w="0" w:type="dxa"/>
              <w:right w:w="0" w:type="dxa"/>
            </w:tcMar>
            <w:vAlign w:val="center"/>
          </w:tcPr>
          <w:p>
            <w:pPr>
              <w:pStyle w:val="TableContents"/>
              <w:bidi w:val="0"/>
              <w:spacing w:before="0" w:after="283"/>
              <w:jc w:val="both"/>
              <w:rPr>
                <w:rFonts w:ascii="sans-serif" w:hAnsi="sans-serif"/>
                <w:b/>
                <w:i/>
                <w:color w:val="000000"/>
                <w:sz w:val="22"/>
              </w:rPr>
            </w:pPr>
            <w:r>
              <w:rPr>
                <w:rFonts w:ascii="sans-serif" w:hAnsi="sans-serif"/>
                <w:b/>
                <w:i/>
                <w:color w:val="000000"/>
                <w:sz w:val="22"/>
              </w:rPr>
              <w:t>Adjusted EBITDA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r>
      <w:tr>
        <w:trPr/>
        <w:tc>
          <w:tcPr>
            <w:tcW w:w="429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FSM-Europe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-91.7</w:t>
            </w:r>
          </w:p>
        </w:tc>
        <w:tc>
          <w:tcPr>
            <w:tcW w:w="36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FSM-MEAA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t>
            </w:r>
          </w:p>
        </w:tc>
      </w:tr>
      <w:tr>
        <w:trPr/>
        <w:tc>
          <w:tcPr>
            <w:tcW w:w="429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NGC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w:t>
            </w:r>
          </w:p>
        </w:tc>
        <w:tc>
          <w:tcPr>
            <w:tcW w:w="1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NM</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Americas</w:t>
      </w:r>
    </w:p>
    <w:p>
      <w:pPr>
        <w:pStyle w:val="TextBody"/>
        <w:bidi w:val="0"/>
        <w:spacing w:before="200" w:after="283"/>
        <w:jc w:val="both"/>
        <w:rPr>
          <w:rFonts w:ascii="Times New Roman" w:hAnsi="Times New Roman"/>
          <w:sz w:val="20"/>
        </w:rPr>
      </w:pPr>
      <w:r>
        <w:rPr>
          <w:rFonts w:ascii="sans-serif" w:hAnsi="sans-serif"/>
          <w:color w:val="323130"/>
          <w:sz w:val="22"/>
        </w:rPr>
        <w:t xml:space="preserve">Americas revenue grew 3.4% </w:t>
      </w:r>
      <w:r>
        <w:rPr>
          <w:rFonts w:ascii="sans-serif" w:hAnsi="sans-serif"/>
          <w:color w:val="242424"/>
          <w:sz w:val="22"/>
        </w:rPr>
        <w:t>driven by price-mix, offset by marginally lower volume. Adjusted EBITDA grew 17.2% due to revenue growth and strong cost control.</w:t>
      </w:r>
    </w:p>
    <w:p>
      <w:pPr>
        <w:pStyle w:val="TextBody"/>
        <w:bidi w:val="0"/>
        <w:spacing w:before="200" w:after="283"/>
        <w:jc w:val="both"/>
        <w:rPr>
          <w:rFonts w:ascii="sans-serif" w:hAnsi="sans-serif"/>
          <w:b/>
          <w:color w:val="000000"/>
          <w:sz w:val="22"/>
        </w:rPr>
      </w:pPr>
      <w:r>
        <w:rPr>
          <w:rFonts w:ascii="sans-serif" w:hAnsi="sans-serif"/>
          <w:b/>
          <w:color w:val="000000"/>
          <w:sz w:val="22"/>
        </w:rPr>
        <w:t>Europe</w:t>
      </w:r>
    </w:p>
    <w:p>
      <w:pPr>
        <w:pStyle w:val="TextBody"/>
        <w:bidi w:val="0"/>
        <w:spacing w:before="200" w:after="283"/>
        <w:jc w:val="both"/>
        <w:rPr>
          <w:rFonts w:ascii="Times New Roman" w:hAnsi="Times New Roman"/>
          <w:sz w:val="20"/>
        </w:rPr>
      </w:pPr>
      <w:r>
        <w:rPr>
          <w:rFonts w:ascii="sans-serif" w:hAnsi="sans-serif"/>
          <w:color w:val="323130"/>
          <w:sz w:val="22"/>
        </w:rPr>
        <w:t>Europe remained challenging in the first half of 2026, continuing trends seen in recent years, as steep excise tax hikes and lack of enforcement have led to proliferation of illicit products. Revenue grew 0.4% and</w:t>
      </w:r>
      <w:r>
        <w:rPr>
          <w:rFonts w:ascii="Times New Roman" w:hAnsi="Times New Roman"/>
          <w:color w:val="242424"/>
          <w:sz w:val="20"/>
        </w:rPr>
        <w:t xml:space="preserve"> </w:t>
      </w:r>
      <w:r>
        <w:rPr>
          <w:rFonts w:ascii="sans-serif" w:hAnsi="sans-serif"/>
          <w:color w:val="242424"/>
          <w:sz w:val="22"/>
        </w:rPr>
        <w:t>adjusted EBITDA declined to $0.1 million, as pricing gains were insufficient to offset excise-driven volume weakness.</w:t>
      </w:r>
    </w:p>
    <w:p>
      <w:pPr>
        <w:pStyle w:val="TextBody"/>
        <w:bidi w:val="0"/>
        <w:spacing w:before="200" w:after="283"/>
        <w:jc w:val="left"/>
        <w:rPr>
          <w:rFonts w:ascii="sans-serif" w:hAnsi="sans-serif"/>
          <w:b/>
          <w:color w:val="242424"/>
          <w:sz w:val="22"/>
        </w:rPr>
      </w:pPr>
      <w:r>
        <w:rPr>
          <w:rFonts w:ascii="sans-serif" w:hAnsi="sans-serif"/>
          <w:b/>
          <w:color w:val="242424"/>
          <w:sz w:val="22"/>
        </w:rPr>
        <w:t>MEAA</w:t>
      </w:r>
    </w:p>
    <w:p>
      <w:pPr>
        <w:pStyle w:val="TextBody"/>
        <w:bidi w:val="0"/>
        <w:spacing w:before="200" w:after="283"/>
        <w:jc w:val="both"/>
        <w:rPr>
          <w:rFonts w:ascii="sans-serif" w:hAnsi="sans-serif"/>
          <w:color w:val="242424"/>
          <w:sz w:val="22"/>
        </w:rPr>
      </w:pPr>
      <w:r>
        <w:rPr>
          <w:rFonts w:ascii="sans-serif" w:hAnsi="sans-serif"/>
          <w:color w:val="242424"/>
          <w:sz w:val="22"/>
        </w:rPr>
        <w:t>MEAA revenues grew 4%, driven by high teens price-mix growth. Adjusted EBITDA declined 4.0%. MEAA includes Global travel retail as well as our corporate headquarters. In the first half of 2026, costs were higher due to incremental public market costs, and higher supply chain costs due to the Middle East conflict.</w:t>
      </w:r>
    </w:p>
    <w:p>
      <w:pPr>
        <w:pStyle w:val="TextBody"/>
        <w:bidi w:val="0"/>
        <w:spacing w:before="200" w:after="283"/>
        <w:jc w:val="both"/>
        <w:rPr>
          <w:rFonts w:ascii="Times New Roman" w:hAnsi="Times New Roman"/>
          <w:sz w:val="20"/>
        </w:rPr>
      </w:pPr>
      <w:r>
        <w:rPr>
          <w:rFonts w:ascii="sans-serif" w:hAnsi="sans-serif"/>
          <w:color w:val="242424"/>
          <w:sz w:val="22"/>
        </w:rPr>
        <w:t>Our market shares remain steady despite the significant pricing taken year-to-date, and in the key market of Saudi Arabia, we are seeing share growth.</w:t>
      </w:r>
      <w:r>
        <w:rPr>
          <w:rFonts w:ascii="Times New Roman" w:hAnsi="Times New Roman"/>
          <w:color w:val="242424"/>
          <w:sz w:val="20"/>
        </w:rPr>
        <w:t xml:space="preserve"> </w:t>
      </w:r>
    </w:p>
    <w:p>
      <w:pPr>
        <w:pStyle w:val="TextBody"/>
        <w:bidi w:val="0"/>
        <w:spacing w:before="200" w:after="283"/>
        <w:jc w:val="both"/>
        <w:rPr>
          <w:rFonts w:ascii="sans-serif" w:hAnsi="sans-serif"/>
          <w:b/>
          <w:color w:val="000000"/>
          <w:sz w:val="22"/>
        </w:rPr>
      </w:pPr>
      <w:r>
        <w:rPr>
          <w:rFonts w:ascii="sans-serif" w:hAnsi="sans-serif"/>
          <w:b/>
          <w:color w:val="000000"/>
          <w:sz w:val="22"/>
        </w:rPr>
        <w:t>NGC</w:t>
      </w:r>
    </w:p>
    <w:p>
      <w:pPr>
        <w:pStyle w:val="TextBody"/>
        <w:bidi w:val="0"/>
        <w:spacing w:before="200" w:after="283"/>
        <w:jc w:val="both"/>
        <w:rPr>
          <w:rFonts w:ascii="Times New Roman" w:hAnsi="Times New Roman"/>
          <w:sz w:val="20"/>
        </w:rPr>
      </w:pPr>
      <w:r>
        <w:rPr>
          <w:rFonts w:ascii="sans-serif" w:hAnsi="sans-serif"/>
          <w:color w:val="000000"/>
          <w:sz w:val="22"/>
        </w:rPr>
        <w:t>NGC revenue grew 37.5%, albeit off a small base, due to growth in OOKA and launch of Crown Switch in Europe. NGC losses remain elevated due to investments behind new product launches in vapes and pouches.</w:t>
      </w:r>
      <w:r>
        <w:rPr>
          <w:rFonts w:ascii="Times New Roman" w:hAnsi="Times New Roman"/>
          <w:color w:val="242424"/>
          <w:sz w:val="20"/>
        </w:rPr>
        <w:t xml:space="preserve"> </w:t>
      </w:r>
      <w:r>
        <w:rPr>
          <w:rFonts w:ascii="sans-serif" w:hAnsi="sans-serif"/>
          <w:color w:val="242424"/>
          <w:sz w:val="22"/>
        </w:rPr>
        <w:t>Adjusted EBITDA was a loss of $7.9 million, reflecting continued investment in new product development and commercialization.</w:t>
      </w:r>
    </w:p>
    <w:p>
      <w:pPr>
        <w:pStyle w:val="TextBody"/>
        <w:bidi w:val="0"/>
        <w:spacing w:before="200" w:after="283"/>
        <w:jc w:val="both"/>
        <w:rPr>
          <w:rFonts w:ascii="sans-serif" w:hAnsi="sans-serif"/>
          <w:b/>
          <w:color w:val="000000"/>
          <w:sz w:val="22"/>
        </w:rPr>
      </w:pPr>
      <w:r>
        <w:rPr>
          <w:rFonts w:ascii="sans-serif" w:hAnsi="sans-serif"/>
          <w:b/>
          <w:color w:val="000000"/>
          <w:sz w:val="22"/>
        </w:rPr>
        <w:t>Impact of the Strait of Hormuz Disruption</w:t>
      </w:r>
    </w:p>
    <w:p>
      <w:pPr>
        <w:pStyle w:val="TextBody"/>
        <w:bidi w:val="0"/>
        <w:spacing w:before="200" w:after="283"/>
        <w:jc w:val="both"/>
        <w:rPr>
          <w:rFonts w:ascii="sans-serif" w:hAnsi="sans-serif"/>
          <w:color w:val="000000"/>
          <w:sz w:val="22"/>
        </w:rPr>
      </w:pPr>
      <w:r>
        <w:rPr>
          <w:rFonts w:ascii="sans-serif" w:hAnsi="sans-serif"/>
          <w:color w:val="000000"/>
          <w:sz w:val="22"/>
        </w:rPr>
        <w:t>The sudden closure of the Strait of Hormuz created significant supply chain disruptions during the first half of 2026, affecting shipment timing across several key markets. While March shipments were materially impacted, end-consumer demand remained resilient and purchase orders were preserved. AIR acted quickly to develop alternative routes, mitigate supply chain risk, and support customer continuity. As logistics conditions improved, shipment volumes recovered, returning to growth in June.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sans-serif" w:hAnsi="sans-serif"/>
          <w:b/>
          <w:color w:val="000000"/>
          <w:sz w:val="22"/>
        </w:rPr>
      </w:pPr>
      <w:r>
        <w:rPr>
          <w:rFonts w:ascii="sans-serif" w:hAnsi="sans-serif"/>
          <w:b/>
          <w:color w:val="000000"/>
          <w:sz w:val="22"/>
        </w:rPr>
        <w:t>Greentank Strategic Investment</w:t>
      </w:r>
    </w:p>
    <w:p>
      <w:pPr>
        <w:pStyle w:val="TextBody"/>
        <w:bidi w:val="0"/>
        <w:spacing w:before="200" w:after="283"/>
        <w:jc w:val="both"/>
        <w:rPr>
          <w:rFonts w:ascii="sans-serif" w:hAnsi="sans-serif"/>
          <w:color w:val="000000"/>
          <w:sz w:val="22"/>
        </w:rPr>
      </w:pPr>
      <w:r>
        <w:rPr>
          <w:rFonts w:ascii="sans-serif" w:hAnsi="sans-serif"/>
          <w:color w:val="000000"/>
          <w:sz w:val="22"/>
        </w:rPr>
        <w:t>On 29 July 2026, AIR announced a $20 million strategic investment into Greentank at a pre-money valuation of $170 million, with an option to increase the ownership stake by another 20% over the next 24 months at a valuation of $250 million. This partnership secures certain commercial advantages for AIR and accelerates our path towards launching Crown Switch in the 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sans-serif" w:hAnsi="sans-serif"/>
          <w:b/>
          <w:color w:val="000000"/>
          <w:sz w:val="22"/>
        </w:rPr>
      </w:pPr>
      <w:r>
        <w:rPr>
          <w:rFonts w:ascii="sans-serif" w:hAnsi="sans-serif"/>
          <w:b/>
          <w:color w:val="000000"/>
          <w:sz w:val="22"/>
        </w:rPr>
        <w:t>Adjusted EBITDA Reconciliation</w:t>
      </w:r>
    </w:p>
    <w:p>
      <w:pPr>
        <w:pStyle w:val="TextBody"/>
        <w:bidi w:val="0"/>
        <w:spacing w:before="200" w:after="283"/>
        <w:jc w:val="both"/>
        <w:rPr>
          <w:rFonts w:ascii="sans-serif" w:hAnsi="sans-serif"/>
          <w:color w:val="000000"/>
          <w:sz w:val="22"/>
        </w:rPr>
      </w:pPr>
      <w:r>
        <w:rPr>
          <w:rFonts w:ascii="sans-serif" w:hAnsi="sans-serif"/>
          <w:color w:val="000000"/>
          <w:sz w:val="22"/>
        </w:rPr>
        <w:t>Reconciliation of operating (loss) / profit to adjusted EBITDA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64"/>
        <w:gridCol w:w="146"/>
        <w:gridCol w:w="1715"/>
        <w:gridCol w:w="329"/>
        <w:gridCol w:w="245"/>
        <w:gridCol w:w="1564"/>
        <w:gridCol w:w="242"/>
      </w:tblGrid>
      <w:tr>
        <w:trPr/>
        <w:tc>
          <w:tcPr>
            <w:tcW w:w="5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(81,820</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31,973</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 (subtract):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3,832</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5,431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costs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14,416</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21,616</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(547</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(7,811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 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2,492</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2,494</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1,904</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1,659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Amortization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7,106</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5,346</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 of results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derivative financial instruments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283</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(52,094</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61,037</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u w:val="single"/>
              </w:rPr>
            </w:pPr>
            <w:r>
              <w:rPr>
                <w:rFonts w:ascii="sans-serif" w:hAnsi="sans-serif"/>
                <w:i/>
                <w:color w:val="000000"/>
                <w:sz w:val="22"/>
                <w:u w:val="single"/>
              </w:rPr>
              <w:t>Non recurring items: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80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Share-based compensations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12,439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1,007</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 restructuring costs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703</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1,184</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Significant provisions, write-offs and associated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1,675</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6,506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Public company readiness cost (ii)</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7,365</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1,925</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Extra-ordinary costs caused by regional disruption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3,795</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Regulatory costs (iv)</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1,980</w:t>
            </w:r>
          </w:p>
        </w:tc>
        <w:tc>
          <w:tcPr>
            <w:tcW w:w="329"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Expenses related to listing event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47,735</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6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 of equity issued at listing event (net) (v)</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48,150</w:t>
            </w:r>
          </w:p>
        </w:tc>
        <w:tc>
          <w:tcPr>
            <w:tcW w:w="32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64"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9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71,748</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71,659</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Please note that further details on Adjusted EBITDA are included in the Appendix.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sans-serif" w:hAnsi="sans-serif"/>
          <w:b/>
          <w:color w:val="000000"/>
          <w:sz w:val="22"/>
        </w:rPr>
      </w:pPr>
      <w:r>
        <w:rPr>
          <w:rFonts w:ascii="sans-serif" w:hAnsi="sans-serif"/>
          <w:b/>
          <w:color w:val="000000"/>
          <w:sz w:val="22"/>
        </w:rPr>
        <w:t>Share Count and Capital Structure</w:t>
      </w:r>
    </w:p>
    <w:p>
      <w:pPr>
        <w:pStyle w:val="TextBody"/>
        <w:bidi w:val="0"/>
        <w:spacing w:before="200" w:after="283"/>
        <w:jc w:val="both"/>
        <w:rPr>
          <w:rFonts w:ascii="sans-serif" w:hAnsi="sans-serif"/>
          <w:color w:val="000000"/>
          <w:sz w:val="22"/>
        </w:rPr>
      </w:pPr>
      <w:r>
        <w:rPr>
          <w:rFonts w:ascii="sans-serif" w:hAnsi="sans-serif"/>
          <w:color w:val="000000"/>
          <w:sz w:val="22"/>
        </w:rPr>
        <w:t>As disclosed in our Report on Form 20</w:t>
        <w:noBreakHyphen/>
        <w:t>F filed on May 21, 2026, and further elaborated in our Report on 6-K filed on June 08, 2026, AIR has approximately 160.39 million ordinary shares outstanding. These include:</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rFonts w:ascii="sans-serif" w:hAnsi="sans-serif"/>
          <w:color w:val="000000"/>
          <w:sz w:val="22"/>
        </w:rPr>
      </w:pPr>
      <w:r>
        <w:rPr>
          <w:rFonts w:ascii="sans-serif" w:hAnsi="sans-serif"/>
          <w:color w:val="000000"/>
          <w:sz w:val="22"/>
        </w:rPr>
        <w:t>Approximately 5 million shares are subject to return to us pursuant to a Forward Purchase Agreement executed on May 11, 2026, as described in our SEC filings; and</w:t>
      </w:r>
    </w:p>
    <w:p>
      <w:pPr>
        <w:pStyle w:val="TextBody"/>
        <w:bidi w:val="0"/>
        <w:spacing w:before="200" w:after="283"/>
        <w:ind w:left="360" w:right="0" w:hanging="0"/>
        <w:jc w:val="both"/>
        <w:rPr>
          <w:color w:val="000000"/>
        </w:rPr>
      </w:pPr>
      <w:r>
        <w:rPr>
          <w:color w:val="000000"/>
        </w:rPr>
        <w:t>•</w:t>
      </w:r>
    </w:p>
    <w:p>
      <w:pPr>
        <w:pStyle w:val="TextBody"/>
        <w:bidi w:val="0"/>
        <w:spacing w:before="200" w:after="283"/>
        <w:jc w:val="both"/>
        <w:rPr>
          <w:rFonts w:ascii="sans-serif" w:hAnsi="sans-serif"/>
          <w:color w:val="000000"/>
          <w:sz w:val="22"/>
        </w:rPr>
      </w:pPr>
      <w:r>
        <w:rPr>
          <w:rFonts w:ascii="sans-serif" w:hAnsi="sans-serif"/>
          <w:color w:val="000000"/>
          <w:sz w:val="22"/>
        </w:rPr>
        <w:t>Approximately 8.69 million ordinary shares that are subject to company and sponsor earnouts (the “Earnout Shares”), which vest only upon achieving specified share</w:t>
        <w:noBreakHyphen/>
        <w:t>price thresholds (US$12.50 and US$15.00) prior to May 31, 2031. As of August 20, 2026, these earnout shares had not vested.</w:t>
      </w:r>
    </w:p>
    <w:p>
      <w:pPr>
        <w:pStyle w:val="TextBody"/>
        <w:bidi w:val="0"/>
        <w:spacing w:before="200" w:after="283"/>
        <w:jc w:val="center"/>
        <w:rPr>
          <w:rFonts w:ascii="sans-serif" w:hAnsi="sans-serif"/>
          <w:b/>
          <w:color w:val="000000"/>
          <w:sz w:val="22"/>
        </w:rPr>
      </w:pPr>
      <w:r>
        <w:rPr>
          <w:rFonts w:ascii="sans-serif" w:hAnsi="sans-serif"/>
          <w:b/>
          <w:color w:val="000000"/>
          <w:sz w:val="22"/>
        </w:rPr>
        <w:t>Glossary</w:t>
      </w:r>
    </w:p>
    <w:p>
      <w:pPr>
        <w:pStyle w:val="TextBody"/>
        <w:bidi w:val="0"/>
        <w:spacing w:before="200" w:after="283"/>
        <w:jc w:val="both"/>
        <w:rPr>
          <w:rFonts w:ascii="Times New Roman" w:hAnsi="Times New Roman"/>
          <w:sz w:val="20"/>
        </w:rPr>
      </w:pPr>
      <w:r>
        <w:rPr>
          <w:rFonts w:ascii="sans-serif" w:hAnsi="sans-serif"/>
          <w:color w:val="000000"/>
          <w:sz w:val="15"/>
        </w:rPr>
        <w:t xml:space="preserve">1 </w:t>
      </w:r>
      <w:r>
        <w:rPr>
          <w:rFonts w:ascii="sans-serif" w:hAnsi="sans-serif"/>
          <w:color w:val="000000"/>
          <w:sz w:val="22"/>
        </w:rPr>
        <w:t>AIR defines EBITDA as earnings for the period before interest, taxation, depreciation and amortization. The most directly comparable IFRS measure is profit/ (loss) for the period. EBITDA is an intermediate step in AIR’s calculation of Adjusted EBITDA, as set out in the reconciliation in Appendix D.</w:t>
      </w:r>
    </w:p>
    <w:p>
      <w:pPr>
        <w:pStyle w:val="TextBody"/>
        <w:bidi w:val="0"/>
        <w:spacing w:before="200" w:after="283"/>
        <w:jc w:val="both"/>
        <w:rPr>
          <w:rFonts w:ascii="Times New Roman" w:hAnsi="Times New Roman"/>
          <w:sz w:val="20"/>
        </w:rPr>
      </w:pPr>
      <w:r>
        <w:rPr>
          <w:rFonts w:ascii="sans-serif" w:hAnsi="sans-serif"/>
          <w:color w:val="000000"/>
          <w:sz w:val="15"/>
        </w:rPr>
        <w:t>2</w:t>
      </w:r>
      <w:r>
        <w:rPr>
          <w:rFonts w:ascii="Times New Roman" w:hAnsi="Times New Roman"/>
          <w:color w:val="000000"/>
          <w:sz w:val="20"/>
        </w:rPr>
        <w:t xml:space="preserve"> </w:t>
      </w:r>
      <w:r>
        <w:rPr>
          <w:rFonts w:ascii="sans-serif" w:hAnsi="sans-serif"/>
          <w:color w:val="000000"/>
          <w:sz w:val="22"/>
        </w:rPr>
        <w:t>AIR defines Adjusted EBITDA as earnings before interest, taxes, depreciation, and amortization, further adjusted to exclude items such as non-recurring expenses, share-based compensation and other non-operating expenses. Adjusted EBITDA is not a measure specifically defined under IFRS. The most directly comparable IFRS measure is profit/(loss) for the period. A reconciliation of profit/(loss) for the period to Adjusted EBITDA is set out in Appendix D.</w:t>
      </w:r>
    </w:p>
    <w:p>
      <w:pPr>
        <w:pStyle w:val="TextBody"/>
        <w:bidi w:val="0"/>
        <w:spacing w:before="200" w:after="283"/>
        <w:jc w:val="both"/>
        <w:rPr>
          <w:rFonts w:ascii="Times New Roman" w:hAnsi="Times New Roman"/>
          <w:sz w:val="20"/>
        </w:rPr>
      </w:pPr>
      <w:r>
        <w:rPr>
          <w:rFonts w:ascii="sans-serif" w:hAnsi="sans-serif"/>
          <w:color w:val="000000"/>
          <w:sz w:val="15"/>
        </w:rPr>
        <w:t>3</w:t>
      </w:r>
      <w:r>
        <w:rPr>
          <w:rFonts w:ascii="Times New Roman" w:hAnsi="Times New Roman"/>
          <w:color w:val="000000"/>
          <w:sz w:val="20"/>
        </w:rPr>
        <w:t xml:space="preserve"> </w:t>
      </w:r>
      <w:r>
        <w:rPr>
          <w:rFonts w:ascii="sans-serif" w:hAnsi="sans-serif"/>
          <w:color w:val="000000"/>
          <w:sz w:val="22"/>
        </w:rPr>
        <w:t>AIR defines Net Debt as total borrowings (comprising current and non-current interest-bearing loans and borrowings) less cash and cash equivalents, each as reported on AIR’s IFRS statement of financial position. AIR defines the ratio of Net Debt to Adjusted EBITDA (“leverage”) as Net Debt divided by Adjusted EBITDA. Neither Net Debt nor the Net Debt to Adjusted EBITDA ratio is presented in accordance with IFRS; the most directly comparable IFRS measures are total borrowings and cash and cash equivalents, each as reported on AIR’s statement of financial position. AIR believes this ratio is a useful measure of AIR’s capital structure and progress toward its target leverage. A reconciliation of profit/(loss) for the period to EBITDA and Adjusted EBITDA and total borrowings to Net Debt is set forth in Appendix D.</w:t>
      </w:r>
    </w:p>
    <w:p>
      <w:pPr>
        <w:pStyle w:val="TextBody"/>
        <w:bidi w:val="0"/>
        <w:spacing w:before="200" w:after="283"/>
        <w:jc w:val="both"/>
        <w:rPr>
          <w:rFonts w:ascii="sans-serif" w:hAnsi="sans-serif"/>
          <w:color w:val="000000"/>
          <w:sz w:val="22"/>
        </w:rPr>
      </w:pPr>
      <w:r>
        <w:rPr>
          <w:rFonts w:ascii="sans-serif" w:hAnsi="sans-serif"/>
          <w:color w:val="000000"/>
          <w:sz w:val="22"/>
        </w:rPr>
        <w:t>See “Use of Non-IFRS Financial Measures” for further information regarding the non-IFRS financials measures included in this press release.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sans-serif" w:hAnsi="sans-serif"/>
          <w:b/>
          <w:color w:val="000000"/>
          <w:sz w:val="22"/>
        </w:rPr>
      </w:pPr>
      <w:r>
        <w:rPr>
          <w:rFonts w:ascii="sans-serif" w:hAnsi="sans-serif"/>
          <w:b/>
          <w:color w:val="000000"/>
          <w:sz w:val="22"/>
        </w:rPr>
        <w:t>Appendix</w:t>
      </w:r>
    </w:p>
    <w:p>
      <w:pPr>
        <w:pStyle w:val="TextBody"/>
        <w:bidi w:val="0"/>
        <w:spacing w:before="200" w:after="283"/>
        <w:jc w:val="both"/>
        <w:rPr>
          <w:rFonts w:ascii="sans-serif" w:hAnsi="sans-serif"/>
          <w:b/>
          <w:color w:val="000000"/>
          <w:sz w:val="22"/>
        </w:rPr>
      </w:pPr>
      <w:r>
        <w:rPr>
          <w:rFonts w:ascii="sans-serif" w:hAnsi="sans-serif"/>
          <w:b/>
          <w:color w:val="000000"/>
          <w:sz w:val="22"/>
        </w:rPr>
        <w:t>Appendix A: Consolidated Statement of Financial Position</w:t>
      </w:r>
    </w:p>
    <w:p>
      <w:pPr>
        <w:pStyle w:val="TextBody"/>
        <w:bidi w:val="0"/>
        <w:jc w:val="both"/>
        <w:rPr/>
      </w:pPr>
      <w:r>
        <w:rPr/>
        <w:t> </w:t>
      </w:r>
    </w:p>
    <w:tbl>
      <w:tblPr>
        <w:tblW w:w="8262" w:type="dxa"/>
        <w:jc w:val="left"/>
        <w:tblInd w:w="0" w:type="dxa"/>
        <w:tblLayout w:type="fixed"/>
        <w:tblCellMar>
          <w:top w:w="28" w:type="dxa"/>
          <w:left w:w="28" w:type="dxa"/>
          <w:bottom w:w="28" w:type="dxa"/>
          <w:right w:w="28" w:type="dxa"/>
        </w:tblCellMar>
      </w:tblPr>
      <w:tblGrid>
        <w:gridCol w:w="4126"/>
        <w:gridCol w:w="146"/>
        <w:gridCol w:w="1426"/>
        <w:gridCol w:w="181"/>
        <w:gridCol w:w="146"/>
        <w:gridCol w:w="2011"/>
        <w:gridCol w:w="22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As at 30 June</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As at 31 December</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$000</w:t>
            </w:r>
          </w:p>
        </w:tc>
        <w:tc>
          <w:tcPr>
            <w:tcW w:w="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$000</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Non-current assets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Right-of-use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14,354</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11,663</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367,336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371,277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Trade and other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293</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Investments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2,255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Financial assets at FVOCI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8,524</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Deferred tax assets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43,763</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41,071</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465,478</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454,969</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61,622</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55,331</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127,809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93,160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deposit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18,200</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Advance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Derivative financial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185</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85,411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119,456</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293,657</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268,221</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759,135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723,190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Non-current liabilities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interest-bearing loans and borrowings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338,525</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357,679</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Employee benefits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6,660</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6,542</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Deferred tax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436</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358,602</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375,808</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Current liabilities</w:t>
            </w:r>
          </w:p>
        </w:tc>
        <w:tc>
          <w:tcPr>
            <w:tcW w:w="1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interest-bearing loans and borrowings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67,338</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29,852</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Employee benefits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1,344</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1,320</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3,348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Trade and other payables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127,033</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99,121</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2,053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Payables relating to acquisitions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1,760</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1,760</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207,705</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138,012</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566,307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513,820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Net assets</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192,828</w:t>
            </w:r>
          </w:p>
        </w:tc>
        <w:tc>
          <w:tcPr>
            <w:tcW w:w="181"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209,370</w:t>
            </w:r>
          </w:p>
        </w:tc>
        <w:tc>
          <w:tcPr>
            <w:tcW w:w="22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Capital and reserves</w:t>
            </w:r>
          </w:p>
        </w:tc>
        <w:tc>
          <w:tcPr>
            <w:tcW w:w="15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968,768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Treasury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(52,444</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Share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1,070,138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Merger reserve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(1,100,361</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(1,100,361</w:t>
            </w:r>
          </w:p>
        </w:tc>
        <w:tc>
          <w:tcPr>
            <w:tcW w:w="2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flow hedge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Translation reserve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6,326</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9,194</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42,658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31,101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Retained earnings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225,128</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262,448</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Net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192,828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209,370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sans-serif" w:hAnsi="sans-serif"/>
          <w:b/>
          <w:color w:val="000000"/>
          <w:sz w:val="22"/>
        </w:rPr>
      </w:pPr>
      <w:r>
        <w:rPr>
          <w:rFonts w:ascii="sans-serif" w:hAnsi="sans-serif"/>
          <w:b/>
          <w:color w:val="000000"/>
          <w:sz w:val="22"/>
        </w:rPr>
        <w:t>Appendix B: Consolidated Statement of Comprehensive (Loss)/Income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75"/>
        <w:gridCol w:w="186"/>
        <w:gridCol w:w="1382"/>
        <w:gridCol w:w="250"/>
        <w:gridCol w:w="186"/>
        <w:gridCol w:w="1382"/>
        <w:gridCol w:w="244"/>
      </w:tblGrid>
      <w:tr>
        <w:trPr/>
        <w:tc>
          <w:tcPr>
            <w:tcW w:w="65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5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86"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250" w:type="dxa"/>
            <w:tcBorders/>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250" w:type="dxa"/>
            <w:tcBorders/>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24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206,898</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199,467</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Cost of sales</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(90,134</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(85,465</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116,764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114,002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Distribution expenses</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(23,504</w:t>
            </w:r>
          </w:p>
        </w:tc>
        <w:tc>
          <w:tcPr>
            <w:tcW w:w="25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(23,719</w:t>
            </w:r>
          </w:p>
        </w:tc>
        <w:tc>
          <w:tcPr>
            <w:tcW w:w="2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General and administrative expenses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(67,073</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(38,082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Provision for expected credit losses on trade receivables</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(991</w:t>
            </w:r>
          </w:p>
        </w:tc>
        <w:tc>
          <w:tcPr>
            <w:tcW w:w="25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(1,036</w:t>
            </w:r>
          </w:p>
        </w:tc>
        <w:tc>
          <w:tcPr>
            <w:tcW w:w="2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operating (losses) / gains</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(88,792</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373</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Operating (loss) / profit</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(63,596</w:t>
            </w:r>
          </w:p>
        </w:tc>
        <w:tc>
          <w:tcPr>
            <w:tcW w:w="25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51,538</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 of net loss of investments accounted for using the equity method</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(329</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derivative financial instruments</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(283)</w:t>
            </w:r>
          </w:p>
        </w:tc>
        <w:tc>
          <w:tcPr>
            <w:tcW w:w="250" w:type="dxa"/>
            <w:tcBorders/>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income</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547</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7,811</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costs</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(14,416</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(21,616</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(Loss) / profit before taxation</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(77,988</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37,404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Taxation</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(3,832</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(5,431</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(Loss) / profit for the period</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(81,820</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31,973</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Other comprehensive (loss) / income</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Items that may be reclassified to profit or loss: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Foreign currency translation differences – foreign operations</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(2,868</w:t>
            </w:r>
          </w:p>
        </w:tc>
        <w:tc>
          <w:tcPr>
            <w:tcW w:w="25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(454</w:t>
            </w:r>
          </w:p>
        </w:tc>
        <w:tc>
          <w:tcPr>
            <w:tcW w:w="2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cash flow hedges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2,771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Amounts reclassified to profit or loss from cash flow hedges</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210</w:t>
            </w:r>
          </w:p>
        </w:tc>
        <w:tc>
          <w:tcPr>
            <w:tcW w:w="250" w:type="dxa"/>
            <w:tcBorders/>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(627</w:t>
            </w:r>
          </w:p>
        </w:tc>
        <w:tc>
          <w:tcPr>
            <w:tcW w:w="2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Items that will not be reclassified to profit or loss: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financial asset at FVOCI</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82"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comprehensive income / (loss) for the period, net of income tax</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(1,081</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Total comprehensive (loss) / income for the period</w:t>
            </w:r>
          </w:p>
        </w:tc>
        <w:tc>
          <w:tcPr>
            <w:tcW w:w="18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(81,742</w:t>
            </w:r>
          </w:p>
        </w:tc>
        <w:tc>
          <w:tcPr>
            <w:tcW w:w="250"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382"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30,892</w:t>
            </w:r>
          </w:p>
        </w:tc>
        <w:tc>
          <w:tcPr>
            <w:tcW w:w="244"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Earnings per share for profit attributable to the ordinary equity holders of the Company:</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Basic (loss) / earnings per share</w:t>
            </w:r>
          </w:p>
        </w:tc>
        <w:tc>
          <w:tcPr>
            <w:tcW w:w="18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(0.57</w:t>
            </w:r>
          </w:p>
        </w:tc>
        <w:tc>
          <w:tcPr>
            <w:tcW w:w="250" w:type="dxa"/>
            <w:tcBorders>
              <w:bottom w:val="doub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382"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0.22</w:t>
            </w:r>
          </w:p>
        </w:tc>
        <w:tc>
          <w:tcPr>
            <w:tcW w:w="244"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Diluted (loss) / earnings per share</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(0.57</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0.22</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sz w:val="20"/>
        </w:rPr>
      </w:pPr>
      <w:r>
        <w:rPr>
          <w:rFonts w:ascii="sans-serif" w:hAnsi="sans-serif"/>
          <w:b/>
          <w:color w:val="000000"/>
          <w:sz w:val="22"/>
        </w:rPr>
        <w:t>Appendix C: Consolidated Statement of Cash Flows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66"/>
        <w:gridCol w:w="146"/>
        <w:gridCol w:w="1392"/>
        <w:gridCol w:w="266"/>
        <w:gridCol w:w="198"/>
        <w:gridCol w:w="1392"/>
        <w:gridCol w:w="245"/>
      </w:tblGrid>
      <w:tr>
        <w:trPr/>
        <w:tc>
          <w:tcPr>
            <w:tcW w:w="6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2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2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 profit for the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(81,820</w:t>
            </w:r>
          </w:p>
        </w:tc>
        <w:tc>
          <w:tcPr>
            <w:tcW w:w="2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31,973</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11,502</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9,499</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3,832</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5,431</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2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w:t>
            </w:r>
          </w:p>
        </w:tc>
        <w:tc>
          <w:tcPr>
            <w:tcW w:w="24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14,416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21,616</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Gain on write off of payables for acquisitions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(140</w:t>
            </w:r>
          </w:p>
        </w:tc>
        <w:tc>
          <w:tcPr>
            <w:tcW w:w="24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Gain on derecognition of 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Gain on disposal of 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w:t>
            </w:r>
          </w:p>
        </w:tc>
        <w:tc>
          <w:tcPr>
            <w:tcW w:w="24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Expenses related to listing event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95,885</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on write-off of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675</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Reversal of slow-moving items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(2,507</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6,635</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Provision for expected credit losses on trade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991</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1,036</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 of net loss of investments accounted for using the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329</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derivative financial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283</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Equity settled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14,209</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2,522</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Exchange gain / (loss) –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(1,661</w:t>
            </w:r>
          </w:p>
        </w:tc>
        <w:tc>
          <w:tcPr>
            <w:tcW w:w="2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(4,405</w:t>
            </w:r>
          </w:p>
        </w:tc>
        <w:tc>
          <w:tcPr>
            <w:tcW w:w="24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1,048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1,613</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56,853</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75,876</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Increase in trade and other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(58,832</w:t>
            </w:r>
          </w:p>
        </w:tc>
        <w:tc>
          <w:tcPr>
            <w:tcW w:w="2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(36,862</w:t>
            </w:r>
          </w:p>
        </w:tc>
        <w:tc>
          <w:tcPr>
            <w:tcW w:w="24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(3,758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(12,614</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Increase / (decrease) in trade and other payables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9,111</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(9,984</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Operating cash flows before payments for employee benefits and payments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3,374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16,416</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paid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(2,575</w:t>
            </w:r>
          </w:p>
        </w:tc>
        <w:tc>
          <w:tcPr>
            <w:tcW w:w="2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(6,511</w:t>
            </w:r>
          </w:p>
        </w:tc>
        <w:tc>
          <w:tcPr>
            <w:tcW w:w="24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Employee 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(896</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56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(used in) / generated from operating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9,009</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sz w:val="20"/>
        </w:rPr>
      </w:pPr>
      <w:r>
        <w:rPr>
          <w:rFonts w:ascii="sans-serif" w:hAnsi="sans-serif"/>
          <w:b/>
          <w:color w:val="000000"/>
          <w:sz w:val="22"/>
        </w:rPr>
        <w:t xml:space="preserve">Unaudited interim condensed consolidated statement of cash flows </w:t>
      </w:r>
      <w:r>
        <w:rPr>
          <w:rFonts w:ascii="sans-serif" w:hAnsi="sans-serif"/>
          <w:color w:val="000000"/>
          <w:sz w:val="22"/>
        </w:rPr>
        <w:t>(continued)</w:t>
      </w:r>
    </w:p>
    <w:tbl>
      <w:tblPr>
        <w:tblW w:w="10205" w:type="dxa"/>
        <w:jc w:val="left"/>
        <w:tblInd w:w="0" w:type="dxa"/>
        <w:tblLayout w:type="fixed"/>
        <w:tblCellMar>
          <w:top w:w="28" w:type="dxa"/>
          <w:left w:w="28" w:type="dxa"/>
          <w:bottom w:w="28" w:type="dxa"/>
          <w:right w:w="28" w:type="dxa"/>
        </w:tblCellMar>
      </w:tblPr>
      <w:tblGrid>
        <w:gridCol w:w="6115"/>
        <w:gridCol w:w="146"/>
        <w:gridCol w:w="1543"/>
        <w:gridCol w:w="279"/>
        <w:gridCol w:w="207"/>
        <w:gridCol w:w="1671"/>
        <w:gridCol w:w="244"/>
      </w:tblGrid>
      <w:tr>
        <w:trPr/>
        <w:tc>
          <w:tcPr>
            <w:tcW w:w="6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1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0"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1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2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1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2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24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sale of 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 made for acquisition of shares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 of 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(1,117</w:t>
            </w:r>
          </w:p>
        </w:tc>
        <w:tc>
          <w:tcPr>
            <w:tcW w:w="27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(1,509</w:t>
            </w:r>
          </w:p>
        </w:tc>
        <w:tc>
          <w:tcPr>
            <w:tcW w:w="2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(4,162</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(7,775</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received on lease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 made for acquisitions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(5,000</w:t>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(2,500</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(9,835</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(11,627</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paid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(13,386</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(15,585</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loans and borrowings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27,500</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405,200</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210</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266</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Repayment of borrowings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(10,130</w:t>
            </w:r>
          </w:p>
        </w:tc>
        <w:tc>
          <w:tcPr>
            <w:tcW w:w="27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(390,750</w:t>
            </w:r>
          </w:p>
        </w:tc>
        <w:tc>
          <w:tcPr>
            <w:tcW w:w="2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expenses related to reorganization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(28,933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received related to reorganization transactions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2,340</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Transactions with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(1,680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 of transaction costs related to loans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(10,375</w:t>
            </w:r>
          </w:p>
        </w:tc>
        <w:tc>
          <w:tcPr>
            <w:tcW w:w="2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Employee shared based payments consideration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shares bought back from shareholders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(322</w:t>
            </w:r>
          </w:p>
        </w:tc>
        <w:tc>
          <w:tcPr>
            <w:tcW w:w="2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paid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(507</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lease incentives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162</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Principal 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(1,859</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(1,655</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cash from / (used in)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(24,103</w:t>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(15,279</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(34,045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(17,897</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611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and cash equivalents at beginning of the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119,456</w:t>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71,702</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85,411</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53,805</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2"/>
              </w:rPr>
            </w:pPr>
            <w:r>
              <w:rPr>
                <w:rFonts w:ascii="sans-serif" w:hAnsi="sans-serif"/>
                <w:b/>
                <w:i/>
                <w:color w:val="000000"/>
                <w:sz w:val="22"/>
              </w:rPr>
              <w:t>Non-cash transactions are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15"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sans-serif" w:hAnsi="sans-serif"/>
                <w:color w:val="000000"/>
                <w:sz w:val="22"/>
              </w:rPr>
              <w:t>- Issuance of shares for BCA transactions (including share premium)</w:t>
            </w:r>
            <w:r>
              <w:rPr>
                <w:rFonts w:ascii="Times New Roman" w:hAnsi="Times New Roman"/>
                <w:color w:val="000000"/>
                <w:sz w:val="22"/>
              </w:rPr>
              <w:t xml:space="preserve"> </w:t>
            </w:r>
          </w:p>
          <w:p>
            <w:pPr>
              <w:pStyle w:val="TableContents"/>
              <w:bidi w:val="0"/>
              <w:spacing w:before="0" w:after="283"/>
              <w:jc w:val="left"/>
              <w:rPr>
                <w:rFonts w:ascii="sans-serif" w:hAnsi="sans-serif"/>
                <w:color w:val="000000"/>
                <w:sz w:val="22"/>
              </w:rPr>
            </w:pPr>
            <w:r>
              <w:rPr>
                <w:rFonts w:ascii="sans-serif" w:hAnsi="sans-serif"/>
                <w:color w:val="000000"/>
                <w:sz w:val="22"/>
              </w:rPr>
              <w:t>(Note 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48,150</w:t>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Utilization of prepayments for acquisitions of Greentank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5,000</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sans-serif" w:hAnsi="sans-serif"/>
          <w:b/>
          <w:color w:val="000000"/>
          <w:sz w:val="22"/>
        </w:rPr>
      </w:pPr>
      <w:r>
        <w:rPr>
          <w:rFonts w:ascii="sans-serif" w:hAnsi="sans-serif"/>
          <w:b/>
          <w:color w:val="000000"/>
          <w:sz w:val="22"/>
        </w:rPr>
        <w:t>Appendix D: Reconciliation of operating (loss) / profit to adjusted EBITDA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956"/>
        <w:gridCol w:w="146"/>
        <w:gridCol w:w="1724"/>
        <w:gridCol w:w="345"/>
        <w:gridCol w:w="239"/>
        <w:gridCol w:w="1552"/>
        <w:gridCol w:w="243"/>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 period ended June 30</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$000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(81,820</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31,973</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 (subtract):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3,832</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5,431</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costs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14,416</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21,616</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(547</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(7,811</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 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2,492</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2,494</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Depreciation -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1,904</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1,659</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Amortization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7,106</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5,346</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 of results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329</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Changes in fair value of derivative financial instruments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283</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(52,094</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61,037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u w:val="single"/>
              </w:rPr>
            </w:pPr>
            <w:r>
              <w:rPr>
                <w:rFonts w:ascii="sans-serif" w:hAnsi="sans-serif"/>
                <w:i/>
                <w:color w:val="000000"/>
                <w:sz w:val="22"/>
                <w:u w:val="single"/>
              </w:rPr>
              <w:t>Non recurring items: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Share-based compensations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12,439</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 restructuring costs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703</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1,184</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Significant provisions, write-offs and associated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1,675</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6,506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Public company readiness cost (ii)</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7,365</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1,925</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Extra-ordinary costs caused by regional disruption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3,795</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Regulatory costs (iv)</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1,980</w:t>
            </w:r>
          </w:p>
        </w:tc>
        <w:tc>
          <w:tcPr>
            <w:tcW w:w="345" w:type="dxa"/>
            <w:tcBorders/>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Expenses related to listing event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47,735</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Expense of equity issued at listing event (net) (v)</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48,150</w:t>
            </w:r>
          </w:p>
        </w:tc>
        <w:tc>
          <w:tcPr>
            <w:tcW w:w="34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71,748</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71,659</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(i) During the six months ended June 30, 2026, the Group recognized $12,439 thousand in share-based compensation expense, primarily in relation to the Milestone Incentive Plan and Retention Awards, both equity-settled arrangements established for senior management in connection with a listing event. For the six months ended June 30, 2026, share-based compensation expense increased relative to the prior comparable period, reflecting the impact of beneficial modifications to the terms of certain participant awards made during the second half of 2025. Although these arrangements are one-time programs linked to the completion of an exit event and will not recur in future periods, the related charges will continue to be recognized over the remaining vesting period in accordance with IFRS 2 “Share-based Payments.”</w:t>
      </w:r>
    </w:p>
    <w:p>
      <w:pPr>
        <w:pStyle w:val="TextBody"/>
        <w:bidi w:val="0"/>
        <w:spacing w:before="200" w:after="283"/>
        <w:jc w:val="both"/>
        <w:rPr>
          <w:rFonts w:ascii="sans-serif" w:hAnsi="sans-serif"/>
          <w:color w:val="000000"/>
          <w:sz w:val="22"/>
        </w:rPr>
      </w:pPr>
      <w:r>
        <w:rPr>
          <w:rFonts w:ascii="sans-serif" w:hAnsi="sans-serif"/>
          <w:color w:val="000000"/>
          <w:sz w:val="22"/>
        </w:rPr>
        <w:t>(ii) During the six months ended June 30, 2026, the Group incurred non-recurring costs of $7,365 thousand directly related to public company readiness activities. These expenditures were incurred to assess and implement the Group's requirements as a publicly listed company, alongside other professional fees including, but not limited to legal, tax, and accounting. These costs would not otherwise have been incurred in the normal course of operations.</w:t>
      </w:r>
    </w:p>
    <w:p>
      <w:pPr>
        <w:pStyle w:val="TextBody"/>
        <w:bidi w:val="0"/>
        <w:spacing w:before="200" w:after="283"/>
        <w:jc w:val="both"/>
        <w:rPr>
          <w:rFonts w:ascii="sans-serif" w:hAnsi="sans-serif"/>
          <w:color w:val="000000"/>
          <w:sz w:val="22"/>
        </w:rPr>
      </w:pPr>
      <w:r>
        <w:rPr>
          <w:rFonts w:ascii="sans-serif" w:hAnsi="sans-serif"/>
          <w:color w:val="000000"/>
          <w:sz w:val="22"/>
        </w:rPr>
        <w:t>(iii) During the six months ended June 30, 2026, regional disruption rendered certain normal supply and logistics routes temporarily unavailable. As a result, the Group was required to enter into contracts for air-freighting materials and finished goods to maintain continuity of operations, a measure not employed in the ordinary course of business. In addition, the Group was unable to procure a key ingredient – glycerin - from contracted supply sources and was required to secure continuity of supply through a short-term contract at prices significantly above normal market conditions. Management has adjusted for the incremental cost of these ingredients, as it does not consider them reflective of the Group’s normalized cost base. Incremental costs in respect of re-routing of land and sea-based shipments, and other inflationary and situational increases, have not been adjusted and are considered operational and within the control of management.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sans-serif" w:hAnsi="sans-serif"/>
          <w:color w:val="000000"/>
          <w:sz w:val="22"/>
        </w:rPr>
      </w:pPr>
      <w:r>
        <w:rPr>
          <w:rFonts w:ascii="sans-serif" w:hAnsi="sans-serif"/>
          <w:color w:val="000000"/>
          <w:sz w:val="22"/>
        </w:rPr>
        <w:t>(iv) During the six-month period ended 30 June 2026, the Group incurred regulatory costs of $1,980 comprising consulting, advisory, and research fees to support the preparation and submission of a U.S. Premarket Tobacco Product Application (PMTA) for one of its devices. Management considers PMTA applications to be infrequent and non-recurring in nature, with associated costs that are significant relative to the Group's normal operating activities. Accordingly, these costs have been adjusted in management's assessment of underlying performance.</w:t>
      </w:r>
    </w:p>
    <w:p>
      <w:pPr>
        <w:pStyle w:val="TextBody"/>
        <w:bidi w:val="0"/>
        <w:spacing w:before="200" w:after="283"/>
        <w:jc w:val="both"/>
        <w:rPr>
          <w:rFonts w:ascii="sans-serif" w:hAnsi="sans-serif"/>
          <w:color w:val="000000"/>
          <w:sz w:val="22"/>
        </w:rPr>
      </w:pPr>
      <w:r>
        <w:rPr>
          <w:rFonts w:ascii="sans-serif" w:hAnsi="sans-serif"/>
          <w:color w:val="000000"/>
          <w:sz w:val="22"/>
        </w:rPr>
        <w:t>(v) During the six-month period ended 30 June 2026, in accordance with the terms of the Business Combination Agreement, on 15 May 2026, the Group issued 4,408,369 shares (including 1,500,000 subject to earnout performance conditions) for an average fair value of $11.45 per share amounting to $50,490 in total share premium. While $2,340 of this share premium was received in cash (in consideration for 226,360 shares issued by the Group), $48,150 of issuance cost is taken as a charge to the unaudited interim condensed consolidated statement of comprehensive income in accordance with IFRS 2 "Share based payments".</w:t>
      </w:r>
    </w:p>
    <w:p>
      <w:pPr>
        <w:pStyle w:val="TextBody"/>
        <w:bidi w:val="0"/>
        <w:spacing w:before="200" w:after="283"/>
        <w:jc w:val="both"/>
        <w:rPr>
          <w:rFonts w:ascii="sans-serif" w:hAnsi="sans-serif"/>
          <w:color w:val="000000"/>
          <w:sz w:val="22"/>
        </w:rPr>
      </w:pPr>
      <w:r>
        <w:rPr>
          <w:rFonts w:ascii="sans-serif" w:hAnsi="sans-serif"/>
          <w:color w:val="000000"/>
          <w:sz w:val="22"/>
        </w:rPr>
        <w:t>Furthermore, during the six- month period ended 30 June 2026, as a result of the BCA transaction that took effect on 15 May 2026, the Group incurred expenses including sponsor marketing and advisory fees for a total of $32,635, satisfying redemption fees on shares redeemed of $4,106, and other advisory, legal and administrative fees of $10,994.</w:t>
      </w:r>
    </w:p>
    <w:p>
      <w:pPr>
        <w:pStyle w:val="TextBody"/>
        <w:bidi w:val="0"/>
        <w:spacing w:before="200" w:after="283"/>
        <w:jc w:val="both"/>
        <w:rPr>
          <w:rFonts w:ascii="sans-serif" w:hAnsi="sans-serif"/>
          <w:i/>
          <w:color w:val="000000"/>
          <w:sz w:val="22"/>
        </w:rPr>
      </w:pPr>
      <w:r>
        <w:rPr>
          <w:rFonts w:ascii="sans-serif" w:hAnsi="sans-serif"/>
          <w:i/>
          <w:color w:val="000000"/>
          <w:sz w:val="22"/>
        </w:rPr>
        <w:t>Reconciliation of total borrowings (current and non-current interest-bearing loans and borrowings) to Net Debt/Adjusted EBITDA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70"/>
        <w:gridCol w:w="146"/>
        <w:gridCol w:w="208"/>
        <w:gridCol w:w="1139"/>
        <w:gridCol w:w="242"/>
      </w:tblGrid>
      <w:tr>
        <w:trPr/>
        <w:tc>
          <w:tcPr>
            <w:tcW w:w="8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8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89"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H1’26</w:t>
            </w:r>
          </w:p>
        </w:tc>
      </w:tr>
      <w:tr>
        <w:trPr/>
        <w:tc>
          <w:tcPr>
            <w:tcW w:w="8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 million)</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borrowings (current and non-current interest-bearing loans, lease liabilities, accrued interest and other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430.2</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70"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Less: Cash and cash equivalents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(85.4</w:t>
            </w:r>
          </w:p>
        </w:tc>
        <w:tc>
          <w:tcPr>
            <w:tcW w:w="24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8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b/>
                <w:color w:val="000000"/>
                <w:sz w:val="22"/>
              </w:rPr>
              <w:t xml:space="preserve">Net Debt </w:t>
            </w:r>
            <w:r>
              <w:rPr>
                <w:rFonts w:ascii="sans-serif" w:hAnsi="sans-serif"/>
                <w:b/>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344.8</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7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Rolling 12 Months Adjusted EBITDA*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139.3</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8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Debt/Adjusted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w:t>
            </w:r>
          </w:p>
        </w:tc>
        <w:tc>
          <w:tcPr>
            <w:tcW w:w="24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16"/>
        </w:rPr>
        <w:t>*Note: Net Debt / Adjusted EBITDA is calculated based on rolling twelve-month Adjusted EBITDA. H1’26 is based on the latest available financial statements. The comparator period is H1’25. To ensure a like-for-like comparison, H2’25 Adjusted EBITDA was derived from FY 2025 Adjusted EBITDA as previously reported of $139.3 million, less H1’25 Adjusted EBITDA of $71.7 million, resulting in H2’25 Adjusted EBITDA of $67.6 million</w:t>
      </w:r>
      <w:r>
        <w:rPr>
          <w:rFonts w:ascii="sans-serif" w:hAnsi="sans-serif"/>
          <w:i/>
          <w:color w:val="000000"/>
          <w:sz w:val="20"/>
        </w:rPr>
        <w:t>.</w:t>
      </w:r>
    </w:p>
    <w:p>
      <w:pPr>
        <w:pStyle w:val="TextBody"/>
        <w:bidi w:val="0"/>
        <w:spacing w:before="200" w:after="283"/>
        <w:jc w:val="both"/>
        <w:rPr>
          <w:rFonts w:ascii="sans-serif" w:hAnsi="sans-serif"/>
          <w:color w:val="000000"/>
          <w:sz w:val="22"/>
        </w:rPr>
      </w:pPr>
      <w:r>
        <w:rPr>
          <w:rFonts w:ascii="sans-serif" w:hAnsi="sans-serif"/>
          <w:color w:val="000000"/>
          <w:sz w:val="22"/>
        </w:rPr>
        <w:t>(i) Represents total borrowings (including “current and non-current borrowings” as shown in the consolidated statement of financial position) less cash and cash equivalents.</w:t>
      </w:r>
    </w:p>
    <w:p>
      <w:pPr>
        <w:pStyle w:val="TextBody"/>
        <w:bidi w:val="0"/>
        <w:spacing w:before="200" w:after="283"/>
        <w:jc w:val="both"/>
        <w:rPr>
          <w:rFonts w:ascii="sans-serif" w:hAnsi="sans-serif"/>
          <w:color w:val="000000"/>
          <w:sz w:val="22"/>
        </w:rPr>
      </w:pPr>
      <w:r>
        <w:rPr>
          <w:rFonts w:ascii="sans-serif" w:hAnsi="sans-serif"/>
          <w:color w:val="000000"/>
          <w:sz w:val="22"/>
        </w:rPr>
        <w:t>(ii) Represents earnings before interest, taxes, depreciation and amortization, further adjusted to exclude items such as non-recurring expenses, share-based compensation and other non-operational items.</w:t>
      </w:r>
    </w:p>
    <w:p>
      <w:pPr>
        <w:pStyle w:val="TextBody"/>
        <w:bidi w:val="0"/>
        <w:spacing w:before="200" w:after="283"/>
        <w:jc w:val="both"/>
        <w:rPr>
          <w:rFonts w:ascii="sans-serif" w:hAnsi="sans-serif"/>
          <w:color w:val="000000"/>
          <w:sz w:val="22"/>
        </w:rPr>
      </w:pPr>
      <w:r>
        <w:rPr>
          <w:rFonts w:ascii="sans-serif" w:hAnsi="sans-serif"/>
          <w:color w:val="000000"/>
          <w:sz w:val="22"/>
        </w:rPr>
        <w:t>(iii) Represents Net Debt divided by Adjusted EBITDA. Net Debt/Adjusted EBITDA is a non-IFRS leverage ratio and differs from the gearing ratio (net debt divided by total capital) presented in AIR’s historical financial statements.</w:t>
      </w:r>
    </w:p>
    <w:p>
      <w:pPr>
        <w:pStyle w:val="Heading1"/>
        <w:bidi w:val="0"/>
        <w:spacing w:before="200" w:after="283"/>
        <w:jc w:val="both"/>
        <w:rPr>
          <w:rFonts w:ascii="sans-serif" w:hAnsi="sans-serif"/>
          <w:color w:val="000000"/>
          <w:sz w:val="22"/>
        </w:rPr>
      </w:pPr>
      <w:r>
        <w:rPr>
          <w:rFonts w:ascii="sans-serif" w:hAnsi="sans-serif"/>
          <w:color w:val="000000"/>
          <w:sz w:val="22"/>
        </w:rPr>
        <w:t>Forward-Looking Statements</w:t>
      </w:r>
    </w:p>
    <w:p>
      <w:pPr>
        <w:pStyle w:val="TextBody"/>
        <w:bidi w:val="0"/>
        <w:spacing w:before="200" w:after="283"/>
        <w:jc w:val="both"/>
        <w:rPr>
          <w:rFonts w:ascii="sans-serif" w:hAnsi="sans-serif"/>
          <w:color w:val="000000"/>
          <w:sz w:val="22"/>
        </w:rPr>
      </w:pPr>
      <w:r>
        <w:rPr>
          <w:rFonts w:ascii="sans-serif" w:hAnsi="sans-serif"/>
          <w:color w:val="000000"/>
          <w:sz w:val="22"/>
        </w:rPr>
        <w:t>This press release contains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as contained in Section 27A of the Securities Act and Section 21E of the Exchange Act. AIR Global PLC is the public operating company that resulted from the business combination of AIR Limited with a special purpose acquisition company, which completed in May 2026, and is accordingly not a “blank check company” for purposes of these safe harbor provisions.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sans-serif" w:hAnsi="sans-serif"/>
          <w:color w:val="000000"/>
          <w:sz w:val="22"/>
        </w:rPr>
      </w:pPr>
      <w:r>
        <w:rPr>
          <w:rFonts w:ascii="sans-serif" w:hAnsi="sans-serif"/>
          <w:color w:val="000000"/>
          <w:sz w:val="22"/>
        </w:rPr>
        <w:t>Any express or implied statements contained in this press release that are not statements of historical fact may be deemed to be forward-looking statements, including, without limitation, statements regarding our future results of operations and financial position as well as our FY2026 and FY2027 financial outlook and medium-term guidance, expected recovery in shipment volumes and accelerating growth in 2H26, our Greentank investment and the related option to increase our ownership stake, the timing of PMTA filings and FDA acceptance and the anticipated launch of Crown Switch, our expectations regarding cannibalization and next generation categories, our share count and the vesting of Earnout Shares, business strategy and plans and objectives of management for future operations, as well as statements that include the words “expect,” “intend,” “plan,” “believe,” “project,” “forecast,” “estimate,” “may,” “should,” “anticipate,” “will,” “aim,” “potential,” “continue,” “are likely to” and similar statements of a future or forward-looking nature.</w:t>
      </w:r>
    </w:p>
    <w:p>
      <w:pPr>
        <w:pStyle w:val="TextBody"/>
        <w:bidi w:val="0"/>
        <w:spacing w:before="200" w:after="283"/>
        <w:jc w:val="both"/>
        <w:rPr>
          <w:rFonts w:ascii="sans-serif" w:hAnsi="sans-serif"/>
          <w:color w:val="000000"/>
          <w:sz w:val="22"/>
        </w:rPr>
      </w:pPr>
      <w:r>
        <w:rPr>
          <w:rFonts w:ascii="sans-serif" w:hAnsi="sans-serif"/>
          <w:color w:val="000000"/>
          <w:sz w:val="22"/>
        </w:rPr>
        <w:t>Forward-looking statements are neither promises nor guarantees, but involve known and unknown risks and uncertainties that could cause actual results to differ materially from those projected, including, without limitation: disruptions to our supply chain and shipments, including as a result of the closure or disruption of the Strait of Hormuz; our dependence on distributors and suppliers; competition and cannibalization from next generation categories; our ability to obtain FDA acceptance and authorization of our PMTA applications on the timelines we expect, or at all; regulatory changes and enforcement trends in the tobacco and nicotine industries; the results of scientific studies and their acceptance by regulatory authorities; the preliminary nature of the McKinney pilot study data, which is subject to further testing and verification and may change materially as additional data becomes available; the potential exercise of warrants to increase our ownership in Greentank; our ability to execute our product development and commercialization strategy, including our U.S. market expansion strategy; excise tax increases and illicit trade in our European markets; changes in consumer preferences; fluctuations in foreign currency exchange rates; dilution from our Earnout Shares and other equity arrangements; tariffs and trade policy changes; changes in applicable laws or regulations; general economic conditions; our ability to realize the anticipated benefits of the Greentank investment; tax, legal and accounting developments; our history of previously identified material weaknesses in internal control over financial reporting; and the other important factors discussed under the caption “Risk Factors” in our Registration Statement on Form F-4, as amended, filed with the U.S. Securities and Exchange Commission (“SEC”), as such factors may be updated from time to time in our other filings with the SEC, including our Reports on Form 6-K. Any forward-looking statements contained in this press release speak only as of the date hereof and accordingly undue reliance should not be placed on such statements. We disclaim any obligation or undertaking to update or revise any forward-looking statements contained in this press release, whether as a result of new information, future events or otherwise, other than to the extent required by applicable law.</w:t>
      </w:r>
    </w:p>
    <w:p>
      <w:pPr>
        <w:pStyle w:val="TextBody"/>
        <w:bidi w:val="0"/>
        <w:spacing w:before="200" w:after="283"/>
        <w:jc w:val="both"/>
        <w:rPr>
          <w:rFonts w:ascii="sans-serif" w:hAnsi="sans-serif"/>
          <w:b/>
          <w:color w:val="000000"/>
          <w:sz w:val="22"/>
        </w:rPr>
      </w:pPr>
      <w:r>
        <w:rPr>
          <w:rFonts w:ascii="sans-serif" w:hAnsi="sans-serif"/>
          <w:b/>
          <w:color w:val="000000"/>
          <w:sz w:val="22"/>
        </w:rPr>
        <w:t>Use of Non-IFRS Financial Measures</w:t>
      </w:r>
    </w:p>
    <w:p>
      <w:pPr>
        <w:pStyle w:val="TextBody"/>
        <w:bidi w:val="0"/>
        <w:spacing w:before="200" w:after="283"/>
        <w:jc w:val="both"/>
        <w:rPr>
          <w:rFonts w:ascii="sans-serif" w:hAnsi="sans-serif"/>
          <w:color w:val="000000"/>
          <w:sz w:val="22"/>
        </w:rPr>
      </w:pPr>
      <w:r>
        <w:rPr>
          <w:rFonts w:ascii="sans-serif" w:hAnsi="sans-serif"/>
          <w:color w:val="000000"/>
          <w:sz w:val="22"/>
        </w:rPr>
        <w:t>This press release includes EBITDA, Adjusted EBITDA, Net Debt and the ratio of Net Debt to Adjusted EBITDA, each of which is a financial measure not presented in accordance with the International Financial Reporting Standards as issued by the International Accounting Standards Board (“IFRS”) and may be different from similarly titled measures used by other companies.</w:t>
      </w:r>
    </w:p>
    <w:p>
      <w:pPr>
        <w:pStyle w:val="TextBody"/>
        <w:bidi w:val="0"/>
        <w:spacing w:before="200" w:after="283"/>
        <w:jc w:val="both"/>
        <w:rPr>
          <w:rFonts w:ascii="sans-serif" w:hAnsi="sans-serif"/>
          <w:color w:val="000000"/>
          <w:sz w:val="22"/>
        </w:rPr>
      </w:pPr>
      <w:r>
        <w:rPr>
          <w:rFonts w:ascii="sans-serif" w:hAnsi="sans-serif"/>
          <w:color w:val="000000"/>
          <w:sz w:val="22"/>
        </w:rPr>
        <w:t>AIR defines EBITDA as earnings for the period before interest, taxation, depreciation and amortization. The most directly comparable IFRS measure is profit/(loss) for the period. EBITDA is an intermediate step in AIR’s calculation of Adjusted EBITDA, as set out in the reconciliation in Appendix D.</w:t>
      </w:r>
    </w:p>
    <w:p>
      <w:pPr>
        <w:pStyle w:val="TextBody"/>
        <w:bidi w:val="0"/>
        <w:spacing w:before="200" w:after="283"/>
        <w:jc w:val="both"/>
        <w:rPr>
          <w:rFonts w:ascii="Times New Roman" w:hAnsi="Times New Roman"/>
          <w:sz w:val="20"/>
        </w:rPr>
      </w:pPr>
      <w:r>
        <w:rPr>
          <w:rFonts w:ascii="sans-serif" w:hAnsi="sans-serif"/>
          <w:color w:val="000000"/>
          <w:sz w:val="22"/>
        </w:rPr>
        <w:t>AIR defines Adjusted EBITDA as earnings before interest, taxes, depreciation, and amortization, further adjusted to exclude items such as non-recurring expenses, share-based compensation and other non-operating expenses. The most directly comparable IFRS measure is profit/(loss) for the period. AIR believes that Adjusted EBITDA is a useful measure as it allows investors and management to evaluate AIR’s operating performance on a consistent basis, excluding the impact of non-operational, non-cash, or one-time items that may obscure underlying trends, and facilitate comparison across periods and with peer companies. Adjusted EBITDA is not a presentation made in accordance with IFRS, and AIR’s use of the term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sans-serif" w:hAnsi="sans-serif"/>
          <w:color w:val="000000"/>
          <w:sz w:val="22"/>
        </w:rPr>
      </w:pPr>
      <w:r>
        <w:rPr>
          <w:rFonts w:ascii="sans-serif" w:hAnsi="sans-serif"/>
          <w:color w:val="000000"/>
          <w:sz w:val="22"/>
        </w:rPr>
        <w:t>may vary from its use by other companies. You should exercise caution in comparing AIR’s Adjusted EBITDA to similarly titled measures reported by other companies and should not consider it in isolation or as a substitute for analysis of AIR’s results as reported under IFRS.</w:t>
      </w:r>
    </w:p>
    <w:p>
      <w:pPr>
        <w:pStyle w:val="TextBody"/>
        <w:bidi w:val="0"/>
        <w:spacing w:before="200" w:after="283"/>
        <w:jc w:val="both"/>
        <w:rPr>
          <w:rFonts w:ascii="sans-serif" w:hAnsi="sans-serif"/>
          <w:color w:val="000000"/>
          <w:sz w:val="22"/>
        </w:rPr>
      </w:pPr>
      <w:r>
        <w:rPr>
          <w:rFonts w:ascii="sans-serif" w:hAnsi="sans-serif"/>
          <w:color w:val="000000"/>
          <w:sz w:val="22"/>
        </w:rPr>
        <w:t>Some of these limitations include that Adjusted EBITDA does not reflect cash expenditures or future requirements for capital investments or contractual commitments; does not reflect changes in, or cash requirements for, working capital needs; does not reflect interest expense or the cash requirements necessary to service interest or principal payments on debt; does not reflect any cash income taxes AIR may be required to pay; and, although depreciation and amortization are non-cash charges, the assets being depreciated and amortized will often need to be replaced in the future, which Adjusted EBITDA does not reflect. In addition, other companies in AIR’s industry may calculate this measure differently, limiting its usefulness as a comparative measure, and the adjustments made in calculating Adjusted EBITDA are those that management considers not representative of AIR’s core operations and are therefore subjective in nature. A reconciliation of profit/(loss) for the period to EBITDA and Adjusted EBITDA is set forth in Appendix D.</w:t>
      </w:r>
    </w:p>
    <w:p>
      <w:pPr>
        <w:pStyle w:val="TextBody"/>
        <w:bidi w:val="0"/>
        <w:spacing w:before="200" w:after="283"/>
        <w:jc w:val="both"/>
        <w:rPr>
          <w:rFonts w:ascii="Times New Roman" w:hAnsi="Times New Roman"/>
          <w:sz w:val="20"/>
        </w:rPr>
      </w:pPr>
      <w:r>
        <w:rPr>
          <w:rFonts w:ascii="sans-serif" w:hAnsi="sans-serif"/>
          <w:color w:val="000000"/>
          <w:sz w:val="22"/>
        </w:rPr>
        <w:t>AIR defines Net Debt as total borrowings (comprising current and non-current interest-bearing loans and borrowings) less cash and cash equivalents, each as reported on AIR’s IFRS statement of financial position. AIR defines the ratio of Net Debt to Adjusted EBITDA (“leverage”) as Net Debt divided by Adjusted EBITDA. Neither Net Debt nor the Net Debt to Adjusted EBITDA ratio is presented in accordance with IFRS; the most directly comparable IFRS measures are total borrowings and cash and cash equivalents, each as reported on AIR’s statement of financial position. AIR believes this ratio is a useful measure of AIR’s capital structure and progress toward its target leverage. A reconciliation of total borrowings to Net Debt is set forth in Appendix D.</w:t>
      </w:r>
      <w:r>
        <w:rPr>
          <w:rFonts w:ascii="Times New Roman" w:hAnsi="Times New Roman"/>
          <w:color w:val="000000"/>
          <w:sz w:val="20"/>
        </w:rPr>
        <w:t xml:space="preserve"> </w:t>
      </w:r>
    </w:p>
    <w:p>
      <w:pPr>
        <w:pStyle w:val="TextBody"/>
        <w:bidi w:val="0"/>
        <w:spacing w:before="20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rFonts w:ascii="Times New Roman" w:hAnsi="Times New Roman"/>
          <w:b/>
          <w:color w:val="000000"/>
          <w:sz w:val="32"/>
        </w:rPr>
      </w:pPr>
      <w:r>
        <w:rPr>
          <w:rFonts w:ascii="Times New Roman" w:hAnsi="Times New Roman"/>
          <w:b/>
          <w:color w:val="000000"/>
          <w:sz w:val="32"/>
        </w:rPr>
        <w:t>Unaudited interim condensed consolidated financial statements</w:t>
      </w:r>
    </w:p>
    <w:p>
      <w:pPr>
        <w:pStyle w:val="TextBody"/>
        <w:bidi w:val="0"/>
        <w:jc w:val="both"/>
        <w:rPr/>
      </w:pPr>
      <w:r>
        <w:rPr/>
        <w:t> </w:t>
      </w:r>
    </w:p>
    <w:p>
      <w:pPr>
        <w:pStyle w:val="TextBody"/>
        <w:bidi w:val="0"/>
        <w:jc w:val="both"/>
        <w:rPr>
          <w:rFonts w:ascii="Times New Roman" w:hAnsi="Times New Roman"/>
          <w:b/>
          <w:color w:val="000000"/>
          <w:sz w:val="32"/>
        </w:rPr>
      </w:pPr>
      <w:r>
        <w:rPr>
          <w:rFonts w:ascii="Times New Roman" w:hAnsi="Times New Roman"/>
          <w:b/>
          <w:color w:val="000000"/>
          <w:sz w:val="32"/>
        </w:rPr>
        <w:t>For the six-month period ended 30 June 2026</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jc w:val="both"/>
        <w:rPr>
          <w:rFonts w:ascii="Times New Roman" w:hAnsi="Times New Roman"/>
          <w:b/>
          <w:color w:val="000000"/>
          <w:sz w:val="20"/>
        </w:rPr>
      </w:pPr>
      <w:r>
        <w:rPr>
          <w:rFonts w:ascii="Times New Roman" w:hAnsi="Times New Roman"/>
          <w:b/>
          <w:color w:val="000000"/>
          <w:sz w:val="20"/>
        </w:rPr>
        <w:t>For the six-month period ended 30 June 2026</w:t>
      </w:r>
    </w:p>
    <w:p>
      <w:pPr>
        <w:pStyle w:val="TextBody"/>
        <w:bidi w:val="0"/>
        <w:jc w:val="both"/>
        <w:rPr/>
      </w:pPr>
      <w:r>
        <w:rPr/>
        <w:t> </w:t>
      </w:r>
    </w:p>
    <w:tbl>
      <w:tblPr>
        <w:tblW w:w="7877" w:type="dxa"/>
        <w:jc w:val="left"/>
        <w:tblInd w:w="0" w:type="dxa"/>
        <w:tblLayout w:type="fixed"/>
        <w:tblCellMar>
          <w:top w:w="28" w:type="dxa"/>
          <w:left w:w="28" w:type="dxa"/>
          <w:bottom w:w="28" w:type="dxa"/>
          <w:right w:w="28" w:type="dxa"/>
        </w:tblCellMar>
      </w:tblPr>
      <w:tblGrid>
        <w:gridCol w:w="7156"/>
        <w:gridCol w:w="721"/>
      </w:tblGrid>
      <w:tr>
        <w:trPr/>
        <w:tc>
          <w:tcPr>
            <w:tcW w:w="715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15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Contents</w:t>
            </w:r>
          </w:p>
          <w:p>
            <w:pPr>
              <w:pStyle w:val="TableContents"/>
              <w:bidi w:val="0"/>
              <w:spacing w:before="0" w:after="283"/>
              <w:jc w:val="both"/>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u w:val="single"/>
              </w:rPr>
            </w:pPr>
            <w:r>
              <w:rPr>
                <w:rFonts w:ascii="Times New Roman" w:hAnsi="Times New Roman"/>
                <w:b/>
                <w:color w:val="000000"/>
                <w:sz w:val="20"/>
                <w:u w:val="single"/>
              </w:rPr>
              <w:t>Pages</w:t>
            </w:r>
          </w:p>
        </w:tc>
      </w:tr>
      <w:tr>
        <w:trPr/>
        <w:tc>
          <w:tcPr>
            <w:tcW w:w="7156" w:type="dxa"/>
            <w:tcBorders/>
            <w:tcMar>
              <w:top w:w="0" w:type="dxa"/>
              <w:left w:w="0" w:type="dxa"/>
              <w:bottom w:w="0" w:type="dxa"/>
              <w:right w:w="0" w:type="dxa"/>
            </w:tcMar>
            <w:vAlign w:val="center"/>
          </w:tcPr>
          <w:p>
            <w:pPr>
              <w:pStyle w:val="TableContents"/>
              <w:bidi w:val="0"/>
              <w:spacing w:before="0" w:after="283"/>
              <w:jc w:val="left"/>
              <w:rPr/>
            </w:pPr>
            <w:hyperlink w:anchor="statement_of_financial_position">
              <w:r>
                <w:rPr>
                  <w:rStyle w:val="InternetLink"/>
                  <w:rFonts w:ascii="Times New Roman" w:hAnsi="Times New Roman"/>
                  <w:color w:val="000000"/>
                  <w:sz w:val="20"/>
                </w:rPr>
                <w:t>Unaudited interim condensed consolidated statement of financial position</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1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_of_comprehensive_income">
              <w:r>
                <w:rPr>
                  <w:rStyle w:val="InternetLink"/>
                  <w:rFonts w:ascii="Times New Roman" w:hAnsi="Times New Roman"/>
                  <w:color w:val="000000"/>
                  <w:sz w:val="20"/>
                </w:rPr>
                <w:t>Unaudited interim condensed consolidated statement of comprehensive (loss) / income</w:t>
              </w:r>
            </w:hyperlink>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156" w:type="dxa"/>
            <w:tcBorders/>
            <w:tcMar>
              <w:top w:w="0" w:type="dxa"/>
              <w:left w:w="0" w:type="dxa"/>
              <w:bottom w:w="0" w:type="dxa"/>
              <w:right w:w="0" w:type="dxa"/>
            </w:tcMar>
            <w:vAlign w:val="center"/>
          </w:tcPr>
          <w:p>
            <w:pPr>
              <w:pStyle w:val="TableContents"/>
              <w:bidi w:val="0"/>
              <w:spacing w:before="0" w:after="283"/>
              <w:jc w:val="left"/>
              <w:rPr/>
            </w:pPr>
            <w:hyperlink w:anchor="statement_of_changes_in_equity">
              <w:r>
                <w:rPr>
                  <w:rStyle w:val="InternetLink"/>
                  <w:rFonts w:ascii="Times New Roman" w:hAnsi="Times New Roman"/>
                  <w:color w:val="000000"/>
                  <w:sz w:val="20"/>
                </w:rPr>
                <w:t>Unaudited interim condensed consolidated statement of changes in equity</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r>
      <w:tr>
        <w:trPr/>
        <w:tc>
          <w:tcPr>
            <w:tcW w:w="71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_of_cash_flows">
              <w:r>
                <w:rPr>
                  <w:rStyle w:val="InternetLink"/>
                  <w:rFonts w:ascii="Times New Roman" w:hAnsi="Times New Roman"/>
                  <w:color w:val="000000"/>
                  <w:sz w:val="20"/>
                </w:rPr>
                <w:t>Unaudited interim condensed consolidated statement of cash flows</w:t>
              </w:r>
            </w:hyperlink>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8 -9</w:t>
            </w:r>
          </w:p>
        </w:tc>
      </w:tr>
      <w:tr>
        <w:trPr/>
        <w:tc>
          <w:tcPr>
            <w:tcW w:w="7156"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00"/>
                  <w:sz w:val="20"/>
                </w:rPr>
                <w:t>Notes to the unaudited interim condensed consolidated financial statements</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10 - 33</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rFonts w:ascii="Times New Roman" w:hAnsi="Times New Roman"/>
          <w:sz w:val="20"/>
        </w:rPr>
      </w:pPr>
      <w:bookmarkStart w:id="2" w:name="statement_of_financial_position"/>
      <w:bookmarkEnd w:id="2"/>
      <w:r>
        <w:rPr>
          <w:rFonts w:ascii="Times New Roman" w:hAnsi="Times New Roman"/>
          <w:b/>
          <w:color w:val="000000"/>
          <w:sz w:val="20"/>
        </w:rPr>
        <w:t>Unaudited interim condensed</w:t>
      </w:r>
      <w:r>
        <w:rPr>
          <w:rFonts w:ascii="Times New Roman" w:hAnsi="Times New Roman"/>
          <w:color w:val="000000"/>
          <w:sz w:val="20"/>
        </w:rPr>
        <w:t xml:space="preserve"> </w:t>
      </w:r>
      <w:r>
        <w:rPr>
          <w:rFonts w:ascii="Times New Roman" w:hAnsi="Times New Roman"/>
          <w:b/>
          <w:color w:val="000000"/>
          <w:sz w:val="20"/>
        </w:rPr>
        <w:t>consolidated statement of financial position</w:t>
      </w:r>
    </w:p>
    <w:p>
      <w:pPr>
        <w:pStyle w:val="TextBody"/>
        <w:bidi w:val="0"/>
        <w:jc w:val="both"/>
        <w:rPr/>
      </w:pPr>
      <w:r>
        <w:rPr/>
        <w:t> </w:t>
      </w:r>
    </w:p>
    <w:tbl>
      <w:tblPr>
        <w:tblW w:w="6634" w:type="dxa"/>
        <w:jc w:val="left"/>
        <w:tblInd w:w="0" w:type="dxa"/>
        <w:tblLayout w:type="fixed"/>
        <w:tblCellMar>
          <w:top w:w="28" w:type="dxa"/>
          <w:left w:w="28" w:type="dxa"/>
          <w:bottom w:w="28" w:type="dxa"/>
          <w:right w:w="28" w:type="dxa"/>
        </w:tblCellMar>
      </w:tblPr>
      <w:tblGrid>
        <w:gridCol w:w="3181"/>
        <w:gridCol w:w="146"/>
        <w:gridCol w:w="556"/>
        <w:gridCol w:w="146"/>
        <w:gridCol w:w="146"/>
        <w:gridCol w:w="886"/>
        <w:gridCol w:w="166"/>
        <w:gridCol w:w="146"/>
        <w:gridCol w:w="148"/>
        <w:gridCol w:w="902"/>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asset at FVOCI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454,969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Advance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723,190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375,808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Payables relating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Capital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Merger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hedge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Translation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bookmarkStart w:id="3" w:name="statement_of_financial_position_and"/>
      <w:bookmarkEnd w:id="3"/>
      <w:r>
        <w:rPr/>
        <w:t> </w:t>
      </w:r>
    </w:p>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8656"/>
        <w:gridCol w:w="421"/>
      </w:tblGrid>
      <w:tr>
        <w:trPr/>
        <w:tc>
          <w:tcPr>
            <w:tcW w:w="86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notes on pages 10  to 33  form an integral part of these unaudited interim condensed consolidated financial statements.</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rFonts w:ascii="Times New Roman" w:hAnsi="Times New Roman"/>
          <w:b/>
          <w:color w:val="000000"/>
          <w:sz w:val="20"/>
        </w:rPr>
      </w:pPr>
      <w:bookmarkStart w:id="4" w:name="statement_of_comprehensive_income"/>
      <w:bookmarkEnd w:id="4"/>
      <w:r>
        <w:rPr>
          <w:rFonts w:ascii="Times New Roman" w:hAnsi="Times New Roman"/>
          <w:b/>
          <w:color w:val="000000"/>
          <w:sz w:val="20"/>
        </w:rPr>
        <w:t>Unaudited interim condensed consolidated statement of comprehensive (loss) / income</w:t>
      </w:r>
    </w:p>
    <w:p>
      <w:pPr>
        <w:pStyle w:val="TextBody"/>
        <w:bidi w:val="0"/>
        <w:jc w:val="both"/>
        <w:rPr/>
      </w:pPr>
      <w:r>
        <w:rPr/>
        <w:t> </w:t>
      </w:r>
    </w:p>
    <w:tbl>
      <w:tblPr>
        <w:tblW w:w="9244" w:type="dxa"/>
        <w:jc w:val="left"/>
        <w:tblInd w:w="0" w:type="dxa"/>
        <w:tblLayout w:type="fixed"/>
        <w:tblCellMar>
          <w:top w:w="28" w:type="dxa"/>
          <w:left w:w="28" w:type="dxa"/>
          <w:bottom w:w="28" w:type="dxa"/>
          <w:right w:w="28" w:type="dxa"/>
        </w:tblCellMar>
      </w:tblPr>
      <w:tblGrid>
        <w:gridCol w:w="4006"/>
        <w:gridCol w:w="146"/>
        <w:gridCol w:w="451"/>
        <w:gridCol w:w="146"/>
        <w:gridCol w:w="146"/>
        <w:gridCol w:w="691"/>
        <w:gridCol w:w="166"/>
        <w:gridCol w:w="146"/>
        <w:gridCol w:w="146"/>
        <w:gridCol w:w="691"/>
        <w:gridCol w:w="166"/>
        <w:gridCol w:w="146"/>
        <w:gridCol w:w="146"/>
        <w:gridCol w:w="691"/>
        <w:gridCol w:w="166"/>
        <w:gridCol w:w="146"/>
        <w:gridCol w:w="146"/>
        <w:gridCol w:w="691"/>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 period</w:t>
              <w:br/>
              <w:t>ended 30 June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Distribution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operating (losses) /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(loss) /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 of net loss of investments accounted for using the</w:t>
              <w:br/>
              <w:t>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 profit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 comprehensive (loss) /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Items that may be reclassified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Foreign currency translation differences – foreign</w:t>
              <w:br/>
              <w: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Amounts reclassified to profit or loss from cash</w:t>
              <w:br/>
              <w:t>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Items that will not be reclassified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financial asset at FVOCI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 / (loss) for the period, net</w:t>
              <w:br/>
              <w:t>   of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comprehensive (loss) / income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Earnings per share for profit attributable to the</w:t>
              <w:br/>
              <w:t>   ordinary 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Basic (loss) /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Diluted (loss) /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included in other operating (losses) / gains for three-month period ended and six-month period ended 30 June 2026 are expenses relating to BCA transaction amounting to $89,446 (Note 17).</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8656"/>
        <w:gridCol w:w="421"/>
      </w:tblGrid>
      <w:tr>
        <w:trPr/>
        <w:tc>
          <w:tcPr>
            <w:tcW w:w="86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notes on pages 10  to 33  form an integral part of these unaudited interim condensed consolidated financial statements.</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bookmarkStart w:id="5" w:name="statement_of_changes_in_equity"/>
      <w:bookmarkEnd w:id="5"/>
      <w:r>
        <w:rPr>
          <w:rFonts w:ascii="Times New Roman" w:hAnsi="Times New Roman"/>
          <w:b/>
          <w:color w:val="000000"/>
          <w:sz w:val="20"/>
        </w:rPr>
        <w:t>Unaudited interim condensed consolidated statement of changes in equity</w:t>
      </w:r>
      <w:r>
        <w:rPr>
          <w:rFonts w:ascii="Times New Roman" w:hAnsi="Times New Roman"/>
          <w:color w:val="000000"/>
          <w:sz w:val="20"/>
        </w:rPr>
        <w:t xml:space="preserve"> </w:t>
      </w:r>
    </w:p>
    <w:p>
      <w:pPr>
        <w:pStyle w:val="TextBody"/>
        <w:bidi w:val="0"/>
        <w:jc w:val="both"/>
        <w:rPr/>
      </w:pPr>
      <w:r>
        <w:rPr/>
        <w:t> </w:t>
      </w:r>
    </w:p>
    <w:tbl>
      <w:tblPr>
        <w:tblW w:w="11831" w:type="dxa"/>
        <w:jc w:val="left"/>
        <w:tblInd w:w="0" w:type="dxa"/>
        <w:tblLayout w:type="fixed"/>
        <w:tblCellMar>
          <w:top w:w="28" w:type="dxa"/>
          <w:left w:w="28" w:type="dxa"/>
          <w:bottom w:w="28" w:type="dxa"/>
          <w:right w:w="28" w:type="dxa"/>
        </w:tblCellMar>
      </w:tblPr>
      <w:tblGrid>
        <w:gridCol w:w="1186"/>
        <w:gridCol w:w="146"/>
        <w:gridCol w:w="146"/>
        <w:gridCol w:w="751"/>
        <w:gridCol w:w="166"/>
        <w:gridCol w:w="146"/>
        <w:gridCol w:w="146"/>
        <w:gridCol w:w="826"/>
        <w:gridCol w:w="166"/>
        <w:gridCol w:w="146"/>
        <w:gridCol w:w="146"/>
        <w:gridCol w:w="661"/>
        <w:gridCol w:w="166"/>
        <w:gridCol w:w="146"/>
        <w:gridCol w:w="146"/>
        <w:gridCol w:w="886"/>
        <w:gridCol w:w="166"/>
        <w:gridCol w:w="146"/>
        <w:gridCol w:w="146"/>
        <w:gridCol w:w="571"/>
        <w:gridCol w:w="166"/>
        <w:gridCol w:w="146"/>
        <w:gridCol w:w="192"/>
        <w:gridCol w:w="754"/>
        <w:gridCol w:w="166"/>
        <w:gridCol w:w="146"/>
        <w:gridCol w:w="146"/>
        <w:gridCol w:w="601"/>
        <w:gridCol w:w="166"/>
        <w:gridCol w:w="146"/>
        <w:gridCol w:w="146"/>
        <w:gridCol w:w="691"/>
        <w:gridCol w:w="166"/>
        <w:gridCol w:w="146"/>
        <w:gridCol w:w="146"/>
        <w:gridCol w:w="69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Merger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br/>
              <w:t>hedge 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1 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w:t>
              <w:br/>
              <w:t>   income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 /</w:t>
              <w:br/>
              <w: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profit on cash flow hedges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fair value of financial</w:t>
              <w:br/>
              <w:t>   asset at FVOCI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reclassified to profit or</w:t>
              <w:br/>
              <w:t>   loss from cashflow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translation</w:t>
              <w:br/>
              <w:t>   difference –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w:t>
              <w:br/>
              <w:t>   income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Transactions with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Equity-settled share-based</w:t>
              <w:br/>
              <w:t>   payments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forfeitable shares</w:t>
              <w:br/>
              <w:t>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awards vested in the</w:t>
              <w:br/>
              <w: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Reorganization transaction</w:t>
              <w:br/>
              <w:t>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shares arising from</w:t>
              <w:br/>
              <w:t>   forward purchase agreement</w:t>
              <w:br/>
              <w:t>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8656"/>
        <w:gridCol w:w="421"/>
      </w:tblGrid>
      <w:tr>
        <w:trPr/>
        <w:tc>
          <w:tcPr>
            <w:tcW w:w="86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6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The notes on pages 10  to 33  form an integral part of these unaudited interim condensed consolidated financial statements.</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8656"/>
        <w:gridCol w:w="421"/>
      </w:tblGrid>
      <w:tr>
        <w:trPr/>
        <w:tc>
          <w:tcPr>
            <w:tcW w:w="86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6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The notes on pages 10  to 33  form an integral part of these unaudited interim condensed consolidated financial statements.</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Unaudited interim condensed consolidated statement of changes in equity</w:t>
      </w:r>
      <w:r>
        <w:rPr>
          <w:rFonts w:ascii="Times New Roman" w:hAnsi="Times New Roman"/>
          <w:color w:val="000000"/>
          <w:sz w:val="20"/>
        </w:rPr>
        <w:t xml:space="preserve"> </w:t>
      </w:r>
    </w:p>
    <w:p>
      <w:pPr>
        <w:pStyle w:val="TextBody"/>
        <w:bidi w:val="0"/>
        <w:jc w:val="left"/>
        <w:rPr/>
      </w:pPr>
      <w:r>
        <w:rPr/>
        <w:t> </w:t>
      </w:r>
    </w:p>
    <w:tbl>
      <w:tblPr>
        <w:tblW w:w="10325"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146"/>
        <w:gridCol w:w="605"/>
        <w:gridCol w:w="166"/>
        <w:gridCol w:w="146"/>
        <w:gridCol w:w="146"/>
        <w:gridCol w:w="886"/>
        <w:gridCol w:w="166"/>
        <w:gridCol w:w="146"/>
        <w:gridCol w:w="158"/>
        <w:gridCol w:w="473"/>
        <w:gridCol w:w="166"/>
        <w:gridCol w:w="146"/>
        <w:gridCol w:w="210"/>
        <w:gridCol w:w="736"/>
        <w:gridCol w:w="166"/>
        <w:gridCol w:w="146"/>
        <w:gridCol w:w="146"/>
        <w:gridCol w:w="601"/>
        <w:gridCol w:w="166"/>
        <w:gridCol w:w="146"/>
        <w:gridCol w:w="146"/>
        <w:gridCol w:w="691"/>
        <w:gridCol w:w="146"/>
        <w:gridCol w:w="146"/>
        <w:gridCol w:w="146"/>
        <w:gridCol w:w="69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Merger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br/>
              <w:t>hedge 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 /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profit on cash flow hedges -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reclassified to profit or loss from</w:t>
              <w:br/>
              <w:t>   cashflow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translation difference –</w:t>
              <w:br/>
              <w:t>   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Transactions with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Equity-settled share-based payments</w:t>
              <w:br/>
              <w:t>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awards vested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bought back from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respect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8656"/>
        <w:gridCol w:w="421"/>
      </w:tblGrid>
      <w:tr>
        <w:trPr/>
        <w:tc>
          <w:tcPr>
            <w:tcW w:w="86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6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The notes on pages 10  to 33  form an integral part of these unaudited interim condensed consolidated financial statements.</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consolidated_statement_of_cash_flows"/>
      <w:bookmarkEnd w:id="6"/>
      <w:r>
        <w:rPr>
          <w:rFonts w:ascii="Times New Roman" w:hAnsi="Times New Roman"/>
          <w:b/>
          <w:color w:val="000000"/>
          <w:sz w:val="20"/>
        </w:rPr>
        <w:t>Unaudited interim condensed</w:t>
      </w:r>
      <w:r>
        <w:rPr>
          <w:rFonts w:ascii="Times New Roman" w:hAnsi="Times New Roman"/>
          <w:color w:val="000000"/>
          <w:sz w:val="20"/>
        </w:rPr>
        <w:t xml:space="preserve"> </w:t>
      </w:r>
      <w:r>
        <w:rPr>
          <w:rFonts w:ascii="Times New Roman" w:hAnsi="Times New Roman"/>
          <w:b/>
          <w:color w:val="000000"/>
          <w:sz w:val="20"/>
        </w:rPr>
        <w:t>consolidated statement of cash flows</w:t>
      </w:r>
    </w:p>
    <w:p>
      <w:pPr>
        <w:pStyle w:val="TextBody"/>
        <w:bidi w:val="0"/>
        <w:jc w:val="left"/>
        <w:rPr/>
      </w:pPr>
      <w:r>
        <w:rPr/>
        <w:t> </w:t>
      </w:r>
    </w:p>
    <w:tbl>
      <w:tblPr>
        <w:tblW w:w="7706" w:type="dxa"/>
        <w:jc w:val="left"/>
        <w:tblInd w:w="0" w:type="dxa"/>
        <w:tblLayout w:type="fixed"/>
        <w:tblCellMar>
          <w:top w:w="28" w:type="dxa"/>
          <w:left w:w="28" w:type="dxa"/>
          <w:bottom w:w="28" w:type="dxa"/>
          <w:right w:w="28" w:type="dxa"/>
        </w:tblCellMar>
      </w:tblPr>
      <w:tblGrid>
        <w:gridCol w:w="5131"/>
        <w:gridCol w:w="146"/>
        <w:gridCol w:w="146"/>
        <w:gridCol w:w="146"/>
        <w:gridCol w:w="146"/>
        <w:gridCol w:w="661"/>
        <w:gridCol w:w="166"/>
        <w:gridCol w:w="146"/>
        <w:gridCol w:w="146"/>
        <w:gridCol w:w="661"/>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 profit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write off of payables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derecognition of 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related to reorganization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write-off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(Reversal of) / provision for slow moving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of net loss of investments accounted for using the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settled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Exchange gain / (loss)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 (decrease) in 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cash flows before payments for employee benefits and</w:t>
              <w:br/>
              <w:t>   payments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(used in) / generated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*Excluding accruals for expenses related to financing activity of reorganization transactions of $18,801 at 30 June 2026 (2025: nil)</w:t>
      </w:r>
      <w:r>
        <w:rPr>
          <w:rFonts w:ascii="Times New Roman" w:hAnsi="Times New Roman"/>
          <w:i/>
          <w:color w:val="000000"/>
          <w:sz w:val="20"/>
        </w:rPr>
        <w:t>.</w:t>
      </w:r>
    </w:p>
    <w:p>
      <w:pPr>
        <w:pStyle w:val="TextBody"/>
        <w:bidi w:val="0"/>
        <w:jc w:val="left"/>
        <w:rPr/>
      </w:pPr>
      <w:r>
        <w:rPr/>
        <w:t> </w:t>
      </w:r>
    </w:p>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8656"/>
        <w:gridCol w:w="421"/>
      </w:tblGrid>
      <w:tr>
        <w:trPr/>
        <w:tc>
          <w:tcPr>
            <w:tcW w:w="86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6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The notes on pages 10  to 33  form an integral part of these unaudited interim condensed consolidated financial statements.</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 xml:space="preserve">Unaudited interim condensed consolidated statement of cash flows </w:t>
      </w:r>
      <w:r>
        <w:rPr>
          <w:rFonts w:ascii="Times New Roman" w:hAnsi="Times New Roman"/>
          <w:color w:val="000000"/>
          <w:sz w:val="20"/>
        </w:rPr>
        <w:t>(continued)</w:t>
      </w:r>
    </w:p>
    <w:p>
      <w:pPr>
        <w:pStyle w:val="TextBody"/>
        <w:bidi w:val="0"/>
        <w:jc w:val="both"/>
        <w:rPr/>
      </w:pPr>
      <w:r>
        <w:rPr/>
        <w:t> </w:t>
      </w:r>
    </w:p>
    <w:tbl>
      <w:tblPr>
        <w:tblW w:w="7706" w:type="dxa"/>
        <w:jc w:val="left"/>
        <w:tblInd w:w="0" w:type="dxa"/>
        <w:tblLayout w:type="fixed"/>
        <w:tblCellMar>
          <w:top w:w="28" w:type="dxa"/>
          <w:left w:w="28" w:type="dxa"/>
          <w:bottom w:w="28" w:type="dxa"/>
          <w:right w:w="28" w:type="dxa"/>
        </w:tblCellMar>
      </w:tblPr>
      <w:tblGrid>
        <w:gridCol w:w="5011"/>
        <w:gridCol w:w="146"/>
        <w:gridCol w:w="146"/>
        <w:gridCol w:w="146"/>
        <w:gridCol w:w="146"/>
        <w:gridCol w:w="691"/>
        <w:gridCol w:w="166"/>
        <w:gridCol w:w="146"/>
        <w:gridCol w:w="146"/>
        <w:gridCol w:w="751"/>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made for acquisition of shares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 on lease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made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expenses related to reorganization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received related to reorganization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Transactions with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transaction costs related to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shared based payments consideration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shares bought back from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lease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from /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Non-cash transactions are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Issuance of shares for BCA transactions (including share premium)</w:t>
              <w:br/>
              <w:t>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Utilization of prepayments for acquisitions of Greentank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Refer to Note 4 for non-cash transactions pertaining to additions of right-of-use assets, lease liabilities. </w:t>
      </w:r>
    </w:p>
    <w:p>
      <w:pPr>
        <w:pStyle w:val="TextBody"/>
        <w:bidi w:val="0"/>
        <w:spacing w:before="240" w:after="283"/>
        <w:jc w:val="both"/>
        <w:rPr/>
      </w:pPr>
      <w:bookmarkStart w:id="7" w:name="cf_end"/>
      <w:bookmarkEnd w:id="7"/>
      <w:r>
        <w:rPr/>
        <w:t> </w:t>
      </w:r>
    </w:p>
    <w:p>
      <w:pPr>
        <w:pStyle w:val="TextBody"/>
        <w:bidi w:val="0"/>
        <w:spacing w:before="240" w:after="283"/>
        <w:jc w:val="both"/>
        <w:rPr/>
      </w:pPr>
      <w:r>
        <w:rPr/>
        <w:t> </w:t>
      </w:r>
    </w:p>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8656"/>
        <w:gridCol w:w="421"/>
      </w:tblGrid>
      <w:tr>
        <w:trPr/>
        <w:tc>
          <w:tcPr>
            <w:tcW w:w="86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6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The notes on pages 10  to 33  form an integral part of these unaudited interim condensed consolidated financial statements.</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b/>
          <w:color w:val="080707"/>
          <w:sz w:val="20"/>
        </w:rPr>
      </w:pPr>
      <w:r>
        <w:rPr>
          <w:rFonts w:ascii="Times New Roman" w:hAnsi="Times New Roman"/>
          <w:b/>
          <w:color w:val="080707"/>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b/>
          <w:color w:val="080707"/>
          <w:sz w:val="20"/>
        </w:rPr>
      </w:pPr>
      <w:r>
        <w:rPr>
          <w:rFonts w:ascii="Times New Roman" w:hAnsi="Times New Roman"/>
          <w:b/>
          <w:color w:val="080707"/>
          <w:sz w:val="20"/>
        </w:rPr>
        <w:t>General information and accounting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Information</w:t>
      </w:r>
    </w:p>
    <w:p>
      <w:pPr>
        <w:pStyle w:val="TextBody"/>
        <w:bidi w:val="0"/>
        <w:jc w:val="both"/>
        <w:rPr>
          <w:rFonts w:ascii="Times New Roman" w:hAnsi="Times New Roman"/>
          <w:color w:val="000000"/>
          <w:sz w:val="20"/>
        </w:rPr>
      </w:pPr>
      <w:r>
        <w:rPr>
          <w:rFonts w:ascii="Times New Roman" w:hAnsi="Times New Roman"/>
          <w:color w:val="000000"/>
          <w:sz w:val="20"/>
        </w:rPr>
        <w:t xml:space="preserve">AIR Global PLC (“AIR Global” or the “Company”), formerly AIR Holdings Limited, is a publicly traded company domiciled and registered in Jersey. AIR Holdings Limited was incorporated under the Companies (Jersey) Law 1991 (as amended) on 23 October 2025. Following completion of the transaction described below on 15 May 2026, the Company was renamed to AIR Global PLC and its common shares became listed on Nasdaq Stock Market LLC (“Nasdaq”), with the trading ticker AIIR. The registered number of the Company is 162485 and the registered address is 15 Esplanade, St. Helier, JE1 1RB, Jersey.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15 May 2026 (the “Closing Date”), AIR Holdings Limited, a, private limited company incorporated under the laws of Jersey (“AIR Holdings”), Cantor Equity Partners III, Inc., a Cayman Islands exempted company (“CAEP”), AIR Limited, a private limited company incorporated under the laws of Jersey (“AIR”), Genesis Cayman Merger Sub Limited, a Cayman Islands exempted company (“Cayman Merger Sub”) incorporated for the sole purpose of effectuating a merger, and Genesis Jersey Merger Sub Limited, a private limited company incorporated under the laws of Jersey (“Jersey Merger Sub”) incorporated for the sole purpose of effectuating a merger, completed the business combination agreement transactions ("BCA transaction”, “reorganization transaction”) pursuant to an agreement entered by the parties on 7 November 2025 (the “Business Combination Agreement”). Following the BCA transaction, the former shareholders of AIR obtained control of the combined company and renamed it to AIR Global PLC.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CAEP did not meet the definition of a “business” in accordance with IFRS 3 – Business Combinations (“IFRS 3”) as issued by the International Accounting Standards Board (“IASB”). As such, the BCA transaction has been accounted for as a capital reorganization where AIR Global PLC is considered a continuation of AIR Limited for financial reporting purposes, with AIR Limited identified as the accounting acquirer. Under this method of accounting, CAEP was treated as the “acquired” company for financial reporting purposes and the BCA transaction was treated as the equivalent of AIR issuing shares in exchange for the net assets of CAEP, accompanied by a recapitalization of AIR. Accordingly, the unaudited interim condensed financial statements represent a continuation of the financial position and results of AIR Limited, and comparative information reflects the historical financial information of AIR Limited. The identifiable assets acquired and liabilities assumed from CAEP were recognized and measured in accordance with the applicable IFRS Accounting Standards. No goodwill or other intangible assets were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information regarding the BCA transaction is provided in Note 17.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include the accounts of the AIR Global and its subsidiaries (together referred to as the “Group”) for the six-month period ended 30 June 2026 and have been approved by the Board of Directors on 19 August 2026. The Group specializes in the manufacture and distribution of molasses.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of the Group for the six-month period ended 30 June 2026 have been prepared in accordance with International Accounting Standard (“IAS”) 34 – Interim Financial Reporting as issued by the International Accounting Standards Board (“IASB”).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unaudited interim condensed consolidated financial statements do not include all information and disclosures required in the annual financial statements and should be read in conjunction with the Group's consolidated financial statements for the year ended 31 December 2025.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Basis of measurement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are prepared under the historical cost convention unless otherwise stated in the Group’s consolidated financial statements for the year ended 31 December 2025.</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Functional and presentation currency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are presented in United States Dollar (“USD”), which is the Group’s presentational currency and the functional currency of the Company and majority of its subsidiaries. All amounts have been rounded to the nearest thousand, unless otherwise indicated.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Material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accounting policies adopted in the preparation of the unaudited interim condensed consolidated financial statements are consistent with those followed in the preparation of the Group’s annual consolidated financial statements for the year ended 31 December 2025, adoption of new standards and amendments to the existing standards and interpretations effective as of 1 January 2026, as detailed below:</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New and amended standards adopted by the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no new standards, amendments and interpretations of IFRS Accounting Standards that are effective that would be expected to have a material impact on the Group.</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New standards and interpretations not yet adopted</w:t>
      </w:r>
    </w:p>
    <w:p>
      <w:pPr>
        <w:pStyle w:val="TextBody"/>
        <w:bidi w:val="0"/>
        <w:spacing w:before="240" w:after="283"/>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April 2024, the IASB issued IFRS 18, the new standard on presentation and disclosure in financial statements, with a focus on updates to the statement of profit or loss. The key new concepts introduced in IFRS 18 relate to:</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structure of the statement of profit or loss;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disclosures in the financial statements for certain profit or loss performance measures that are reported outside an entity’s financial statements (that is, management-defined performance measures); and</w:t>
      </w:r>
    </w:p>
    <w:p>
      <w:pPr>
        <w:pStyle w:val="TextBody"/>
        <w:bidi w:val="0"/>
        <w:spacing w:before="120" w:after="160"/>
        <w:jc w:val="both"/>
        <w:rPr>
          <w:color w:val="000000"/>
        </w:rPr>
      </w:pPr>
      <w:r>
        <w:rPr>
          <w:color w:val="000000"/>
        </w:rPr>
        <w: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enhanced principles on aggregation and disaggregation which apply to the primary financial statements and notes in general.</w:t>
      </w:r>
    </w:p>
    <w:p>
      <w:pPr>
        <w:pStyle w:val="TextBody"/>
        <w:bidi w:val="0"/>
        <w:jc w:val="both"/>
        <w:rPr>
          <w:rFonts w:ascii="Times New Roman" w:hAnsi="Times New Roman"/>
          <w:color w:val="000000"/>
          <w:sz w:val="20"/>
        </w:rPr>
      </w:pPr>
      <w:r>
        <w:rPr>
          <w:rFonts w:ascii="Times New Roman" w:hAnsi="Times New Roman"/>
          <w:color w:val="000000"/>
          <w:sz w:val="20"/>
        </w:rPr>
        <w:t xml:space="preserve">IFRS 18 will replace IAS 1; many of the other existing principles in IAS 1 are retained, with limited changes. IFRS 18 will not impact the recognition or measurement of items in the financial statements, but it might change what an entity reports as its ‘operating profit or loss’. IFRS 18 will apply for reporting periods beginning on or after 1 January 2027 and also applies to comparative information. The Group plans to adopt IFRS 18 on its effective date and is currently in the process of assessing the impact of the adoption.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other new standards, amendments and interpretations of IFRS Accounting Standards that are not yet effective that would be expected to have a material impact on the Group.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Significant accounting judgements, estimates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unaudited interim condensed consolidated financial statements requires management to make judgements, estimates and assumptions that affect the application of accounting policies and reported amounts of assets, liabilities, income and expenses. Actual results may differ from these estimates. Other than the BCA reorganization transaction disclosed in Note 17 and investments in Greentank Innovations Corp. disclosed in Note 18, the significant accounting judgments, estimates and assumptions applied during the preparation of the unaudited interim condensed consolidated financial statements are similar to those that were applied to the consolidated financial statements as at and for the year ended 31 December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1.7.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have been prepared on a going concern basis which the Directors consider to be appropriate for the following reasons: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reported a loss for the period ended 30 June 2026 of $81,820, compared with a $31,973 profit in the period ended 30 June 2025, mainly caused by expenses incurred due to BCA transaction and listing process, had negative operating cashflows of $107 (30 June 2025: positive operating cash flows of $9,009), and net current assets of $85,952 as at 30 June 2026 (31 December 2025: net current assets of $130,209).</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Directors have prepared forecasts, including profitability, working capital, and cashflow expectations for a period of at least 12 months from the date of these unaudited interim condensed consolidated financial statements, and in addition have also prepared forecasts for the year 2027 which indicates that, taking account of reasonably possible downsides scenarios, the Group and Company will have sufficient funds to meet its liabilities as they fall due.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Forecasts have been prepared and consider a range of possible scenarios, including plausible downside scenarios. In such scenarios, the Group will continue to be profitable, cash generative and remain in compliance with all financial covenants over the forecast period. The Directors considered this appropriate, noting the Group’s continued growth, strong cash generation potential and the Group’s new business pipeline, while also remaining cognisant of the residual uncertainty in the macro-economic environment. After careful consideration of these downside scenarios, the Directors are satisfied that the Group’s existing resources are adequate to meet its requirements as they fall due.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Consequently, the Directors are confident that the Group and Company will have sufficient funds to continue to meet its liabilities as they fall due for at least 12 months from the date of approval of the unaudited interim condensed consolidated financial statements and therefore have prepared the unaudited interim condensed consolidated financial statements on a going concern basis.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1.8 Seasonality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for the six-month period ended 30 June 2026 are not necessarily indicative of the results that may be expected for the full financial year ending 31 December 2026. The nature of the Group’s business is such that the income and expenditure are incurred in a manner, which is not impacted by any forms of seasonality generally.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1.9. Derivative financial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Group’s accounting policies are consistent with those disclosed in the consolidated financial statements for the year ended 31 December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period, the Group used currency swaps and foreign exchange forward contracts to manage long term or short</w:t>
        <w:noBreakHyphen/>
        <w:t>term currency exposures. These instruments are not designated in hedge relationships and are measured at fair value through profit or loss, with changes in fair value recognized in the unaudited interim condensed consolidated statement of comprehensive income.</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2.</w:t>
      </w:r>
    </w:p>
    <w:p>
      <w:pPr>
        <w:pStyle w:val="TextBody"/>
        <w:bidi w:val="0"/>
        <w:jc w:val="both"/>
        <w:rPr>
          <w:rFonts w:ascii="Times New Roman" w:hAnsi="Times New Roman"/>
          <w:b/>
          <w:color w:val="080707"/>
          <w:sz w:val="20"/>
        </w:rPr>
      </w:pPr>
      <w:r>
        <w:rPr>
          <w:rFonts w:ascii="Times New Roman" w:hAnsi="Times New Roman"/>
          <w:b/>
          <w:color w:val="080707"/>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generates revenue primarily from the sale of tobacco molasses and collection of royalty income generated from licensing of its brands for use in related industries. In the following table, revenue is disaggregated by major products / service lines, primary geographical markets and timing of revenue recognition.</w:t>
      </w:r>
    </w:p>
    <w:p>
      <w:pPr>
        <w:pStyle w:val="TextBody"/>
        <w:bidi w:val="0"/>
        <w:spacing w:before="120" w:after="283"/>
        <w:jc w:val="both"/>
        <w:rPr/>
      </w:pPr>
      <w:r>
        <w:rPr/>
        <w:t> </w:t>
      </w:r>
    </w:p>
    <w:tbl>
      <w:tblPr>
        <w:tblW w:w="8676" w:type="dxa"/>
        <w:jc w:val="left"/>
        <w:tblInd w:w="0" w:type="dxa"/>
        <w:tblLayout w:type="fixed"/>
        <w:tblCellMar>
          <w:top w:w="28" w:type="dxa"/>
          <w:left w:w="28" w:type="dxa"/>
          <w:bottom w:w="28" w:type="dxa"/>
          <w:right w:w="28" w:type="dxa"/>
        </w:tblCellMar>
      </w:tblPr>
      <w:tblGrid>
        <w:gridCol w:w="4261"/>
        <w:gridCol w:w="146"/>
        <w:gridCol w:w="691"/>
        <w:gridCol w:w="146"/>
        <w:gridCol w:w="146"/>
        <w:gridCol w:w="146"/>
        <w:gridCol w:w="691"/>
        <w:gridCol w:w="146"/>
        <w:gridCol w:w="146"/>
        <w:gridCol w:w="146"/>
        <w:gridCol w:w="691"/>
        <w:gridCol w:w="146"/>
        <w:gridCol w:w="146"/>
        <w:gridCol w:w="146"/>
        <w:gridCol w:w="69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Major products / service lines</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Tobacco and related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from sales of tobacco and related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Logistics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Primary geographical markets</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Europe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Timing of transfer of goods or services</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Tobacco and related products transferred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income from sales of tobacco and related products</w:t>
              <w:br/>
              <w:t>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income from sales of tobacco and related products</w:t>
              <w:br/>
              <w:t>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Logistics services transferred over time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escalations in geopolitical tensions between the United States, Israel and Iran resulted in increased regional instability across the Middle East, including the UAE and other GCC markets in which the Group operates. These developments have disrupted shipping through the Strait of Hormuz, leading many carriers to suspend transits and reroute vessels. To date, the Group has experienced some increases in shipping costs and delays in the delivery of raw materials and product distribution as alternative land</w:t>
        <w:noBreakHyphen/>
        <w:t>based routes are utilized.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amount of revenue recognized in the current period that was included in the contract liability balance at the beginning of the period was $7,872 (2025: $377).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unsatisfied performance obligations of $12,905 as at 30 June 2026 (31 December 2025: $7,872).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rFonts w:ascii="Times New Roman" w:hAnsi="Times New Roman"/>
          <w:b/>
          <w:color w:val="080707"/>
          <w:sz w:val="20"/>
        </w:rPr>
      </w:pPr>
      <w:r>
        <w:rPr>
          <w:rFonts w:ascii="Times New Roman" w:hAnsi="Times New Roman"/>
          <w:b/>
          <w:color w:val="080707"/>
          <w:sz w:val="20"/>
        </w:rPr>
        <w:t>3.</w:t>
      </w:r>
    </w:p>
    <w:p>
      <w:pPr>
        <w:pStyle w:val="TextBody"/>
        <w:bidi w:val="0"/>
        <w:spacing w:before="240" w:after="283"/>
        <w:jc w:val="both"/>
        <w:rPr>
          <w:rFonts w:ascii="Times New Roman" w:hAnsi="Times New Roman"/>
          <w:b/>
          <w:color w:val="080707"/>
          <w:sz w:val="20"/>
        </w:rPr>
      </w:pPr>
      <w:r>
        <w:rPr>
          <w:rFonts w:ascii="Times New Roman" w:hAnsi="Times New Roman"/>
          <w:b/>
          <w:color w:val="080707"/>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Group's management has identified four reportable operating segments, as reviewed by the CODM, the Executive Committee.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130" w:after="283"/>
        <w:jc w:val="both"/>
        <w:rPr>
          <w:rFonts w:ascii="Times New Roman" w:hAnsi="Times New Roman"/>
          <w:color w:val="000000"/>
          <w:sz w:val="20"/>
        </w:rPr>
      </w:pPr>
      <w:r>
        <w:rPr>
          <w:rFonts w:ascii="Times New Roman" w:hAnsi="Times New Roman"/>
          <w:color w:val="000000"/>
          <w:sz w:val="20"/>
        </w:rPr>
        <w:t>During the period ended 30 June 2026, Management made the decision to re-name these segments to enable better understanding, changing ‘Core’ to ‘Flavored Shisha Molasses’ (‘FSM’). No other changes were made in respect of the segments or the revenues and Adjusted EBITDA that they represent. Accordingly, as at 30 June, 2026, the portfolio is organized as follows: (i) FSM Americas (formerly Core – Americas); (ii) FSM – Europe (formerly Core – Europe); FSM – MEAA (formerly Core – MEAA), and New Growth Categories (the “NGCs”) which remains.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management purposes, the Group is organized into the following divisions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Flavored Shisha Molasses ("FSM") (formerly called "Core") - Americas – Includes the production and sale of traditional shisha tobacco under the Al Fakher and other non-New Growth Categories (“non-NGC”) brands, distributed in the Americas through wholesale, retail, and direct-to-consumer channels.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Flavored Shisha Molasses ("FSM") (formerly called "Core") - Europe – Includes the production and sale of traditional shisha tobacco under the Al Fakher and other non-NGC brands, distributed throughout Europe through wholesale, retail, and direct-to-consumer channels.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Flavored Shisha Molasses ("FSM") (formerly called "Core") - MEAA – Includes the production and sale of traditional shisha tobacco under the Al Fakher and other non-NGC brands, distributed throughout the Middle East through wholesale, retail, and direct-to-consumer channels. FSM– MEAA also includes various royalty arrangements linked to the Al Fakher brand.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Growth Categories ("NGCs") – This segment covers the Group’s offering under the OOKA brand (including proprietary devices and related consumables), modern oral nicotine pouches, and both nicotine and non-nicotine inhalation devices under the VANT and Crown Switch brands.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CODM allocates resources based on adjusted EBITDA, which is reported and reviewed monthly. Adjusted EBITDA is defined as earnings before interest, taxes, depreciation, and amortization, further adjusted to exclude items such as non-recurring expenses, share-based compensation and other non operating expenses. Adjusted EBITDA is not a measure specifically defined under IFRS. Segmental asset information is not provided to the CODM.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Segmental information</w:t>
      </w:r>
    </w:p>
    <w:tbl>
      <w:tblPr>
        <w:tblW w:w="8588" w:type="dxa"/>
        <w:jc w:val="left"/>
        <w:tblInd w:w="0" w:type="dxa"/>
        <w:tblLayout w:type="fixed"/>
        <w:tblCellMar>
          <w:top w:w="28" w:type="dxa"/>
          <w:left w:w="28" w:type="dxa"/>
          <w:bottom w:w="28" w:type="dxa"/>
          <w:right w:w="28" w:type="dxa"/>
        </w:tblCellMar>
      </w:tblPr>
      <w:tblGrid>
        <w:gridCol w:w="1606"/>
        <w:gridCol w:w="146"/>
        <w:gridCol w:w="226"/>
        <w:gridCol w:w="1049"/>
        <w:gridCol w:w="146"/>
        <w:gridCol w:w="146"/>
        <w:gridCol w:w="199"/>
        <w:gridCol w:w="926"/>
        <w:gridCol w:w="146"/>
        <w:gridCol w:w="146"/>
        <w:gridCol w:w="172"/>
        <w:gridCol w:w="923"/>
        <w:gridCol w:w="146"/>
        <w:gridCol w:w="146"/>
        <w:gridCol w:w="194"/>
        <w:gridCol w:w="841"/>
        <w:gridCol w:w="166"/>
        <w:gridCol w:w="146"/>
        <w:gridCol w:w="146"/>
        <w:gridCol w:w="78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 ended</w:t>
              <w:br/>
              <w:t>30 June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Growth</w:t>
              <w:br/>
              <w:t>Categories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 ended</w:t>
              <w:br/>
              <w:t>30 June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Growth</w:t>
              <w:br/>
              <w:t>Categories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period, the Group had one external customer and one group of related party companies that in aggregate each comprised more than 10% of the Group’s revenues totaling $34,179 and $28,594 respectively, included in the FSM - MEAA segment (30 June 2025: one external customer and one group of related party companies totaling $24,134 and $55,181, respectively, included in the FSM - MEAA segment).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Reconciliation of operating (loss) / profit to adjusted EBITDA</w:t>
      </w:r>
    </w:p>
    <w:tbl>
      <w:tblPr>
        <w:tblW w:w="7279" w:type="dxa"/>
        <w:jc w:val="left"/>
        <w:tblInd w:w="0" w:type="dxa"/>
        <w:tblLayout w:type="fixed"/>
        <w:tblCellMar>
          <w:top w:w="28" w:type="dxa"/>
          <w:left w:w="28" w:type="dxa"/>
          <w:bottom w:w="28" w:type="dxa"/>
          <w:right w:w="28" w:type="dxa"/>
        </w:tblCellMar>
      </w:tblPr>
      <w:tblGrid>
        <w:gridCol w:w="4906"/>
        <w:gridCol w:w="146"/>
        <w:gridCol w:w="146"/>
        <w:gridCol w:w="736"/>
        <w:gridCol w:w="166"/>
        <w:gridCol w:w="146"/>
        <w:gridCol w:w="146"/>
        <w:gridCol w:w="676"/>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Non recurring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compensations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provisions, write-offs and associated legal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company readiness cost (ii)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Extra-ordinary costs caused by regional disruption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costs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 BCA transaction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of equity issued at BCA transaction date (net)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During the periods, the Group recognized $12,439 share-based expenses mainly in relation to the Milestone Incentive Plan, and the Retention Award, both being equity-settled share-based compensation arrangements established for senior management. Although these share-based arrangements are one-time programs linked to the completion, and period of time thus following an exit event respectively, and will not recur in future periods, the related share-based charges will continue to be recognized over the remaining vesting period in accordance with IFRS 2 “Share based payments.”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 During the periods, the Group incurred a series of non-recurring costs amounting to $7,365 directly related to public company readiness activities. These expenditures were incurred to assess and implement the Group's key requirements as a public listed company, alongside other professional fees including, but not limited, to legal, tax, and accounting. These fees and costs would not otherwise be incurred.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During the six- month period ended 30 June 2026, as a result of regional disruption, the Group was forced to enter into contracts for air-freighting materials and finished goods where normal routes rendered supply temporarily impossible. Management does not normally sanction these solutions for its supply chain so considers these events as exceptional. Additionally, the Group was unable to procure glycerin, a key ingredient for its flavored shisha molasses, from contracted supply sources, and was obliged to enter into a short term contracts for continuity of supply at prices that were significantly misaligned to normal market conditions. Accordingly, management have adjusted the incremental cost of this specific ingredient. The exceptional cost recognized in respect of these matters amounted to $3,795. Incremental cost in respect of re-routing of land and sea based shipments, and other inflationary and situational increases has not been adjusted and is considered operational, and within the control of management.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(iv) During the six-month period ended 30 June 2026, the Group incurred regulatory costs of $1,980 comprising consulting, advisory, and research fees to support the preparation and submission of a U.S. Premarket Tobacco Product Application (PMTA) for one of its strategic devices. Management considers PMTA applications to be infrequent and non-recurring in nature, with associated costs that are significant relative to the Group's normal operating activities. Accordingly, these costs have been adjusted for in management's assessment of underlying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 During the six- month period ended 30 June 2026, as a result of the BCA transaction that took effect on 15 May 2026, the Group issued 4,408,369 shares (including 1,500,000 subject to earnout performance conditions) for an average fair value of $11.45 per share amounting to $50,490 in total share premium. While $2,340 of this share premium was received in cash (in consideration for 226,360 shares issued by the Group), $48,150 of issuance cost is taken as a charge to the unaudited interim condensed consolidated statement of comprehensive income in accordance with IFRS 2 "Share based payments".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during the six- month period ended 30 June 2026, as a result of the BCA transaction that took effect on 15 May 2026, the Group incurred expenses including sponsor marketing and advisory fees for a total of $32,635, satisfying redemption fees on shares redeemed of $4,106, and other advisory, legal and administrative fees of $10,994.</w:t>
      </w:r>
    </w:p>
    <w:p>
      <w:pPr>
        <w:pStyle w:val="TextBody"/>
        <w:bidi w:val="0"/>
        <w:jc w:val="both"/>
        <w:rPr/>
      </w:pPr>
      <w:r>
        <w:rPr/>
        <w:t> </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4.</w:t>
      </w:r>
    </w:p>
    <w:p>
      <w:pPr>
        <w:pStyle w:val="TextBody"/>
        <w:bidi w:val="0"/>
        <w:jc w:val="both"/>
        <w:rPr>
          <w:rFonts w:ascii="Times New Roman" w:hAnsi="Times New Roman"/>
          <w:b/>
          <w:color w:val="080707"/>
          <w:sz w:val="20"/>
        </w:rPr>
      </w:pPr>
      <w:r>
        <w:rPr>
          <w:rFonts w:ascii="Times New Roman" w:hAnsi="Times New Roman"/>
          <w:b/>
          <w:color w:val="080707"/>
          <w:sz w:val="20"/>
        </w:rPr>
        <w:t>Right-of-use assets and lease liabilities</w:t>
      </w:r>
    </w:p>
    <w:p>
      <w:pPr>
        <w:pStyle w:val="TextBody"/>
        <w:bidi w:val="0"/>
        <w:jc w:val="both"/>
        <w:rPr/>
      </w:pPr>
      <w:r>
        <w:rPr/>
        <w:t> </w:t>
      </w:r>
    </w:p>
    <w:p>
      <w:pPr>
        <w:pStyle w:val="TextBody"/>
        <w:bidi w:val="0"/>
        <w:jc w:val="both"/>
        <w:rPr>
          <w:rFonts w:ascii="Times New Roman" w:hAnsi="Times New Roman"/>
          <w:color w:val="080707"/>
          <w:sz w:val="20"/>
          <w:u w:val="single"/>
        </w:rPr>
      </w:pPr>
      <w:r>
        <w:rPr>
          <w:rFonts w:ascii="Times New Roman" w:hAnsi="Times New Roman"/>
          <w:color w:val="080707"/>
          <w:sz w:val="20"/>
          <w:u w:val="single"/>
        </w:rPr>
        <w:t>4.1. Right-of-use assets</w:t>
      </w:r>
    </w:p>
    <w:p>
      <w:pPr>
        <w:pStyle w:val="TextBody"/>
        <w:bidi w:val="0"/>
        <w:jc w:val="both"/>
        <w:rPr/>
      </w:pPr>
      <w:r>
        <w:rPr/>
        <w:t> </w:t>
      </w:r>
    </w:p>
    <w:p>
      <w:pPr>
        <w:pStyle w:val="TextBody"/>
        <w:bidi w:val="0"/>
        <w:jc w:val="both"/>
        <w:rPr>
          <w:rFonts w:ascii="Times New Roman" w:hAnsi="Times New Roman"/>
          <w:color w:val="080707"/>
          <w:sz w:val="20"/>
        </w:rPr>
      </w:pPr>
      <w:r>
        <w:rPr>
          <w:rFonts w:ascii="Times New Roman" w:hAnsi="Times New Roman"/>
          <w:color w:val="080707"/>
          <w:sz w:val="20"/>
        </w:rPr>
        <w:t>Right-of-use assets comprise leased land and buildings.</w:t>
      </w:r>
    </w:p>
    <w:tbl>
      <w:tblPr>
        <w:tblW w:w="5134" w:type="dxa"/>
        <w:jc w:val="left"/>
        <w:tblInd w:w="0" w:type="dxa"/>
        <w:tblLayout w:type="fixed"/>
        <w:tblCellMar>
          <w:top w:w="28" w:type="dxa"/>
          <w:left w:w="28" w:type="dxa"/>
          <w:bottom w:w="28" w:type="dxa"/>
          <w:right w:w="28" w:type="dxa"/>
        </w:tblCellMar>
      </w:tblPr>
      <w:tblGrid>
        <w:gridCol w:w="2821"/>
        <w:gridCol w:w="146"/>
        <w:gridCol w:w="146"/>
        <w:gridCol w:w="676"/>
        <w:gridCol w:w="166"/>
        <w:gridCol w:w="146"/>
        <w:gridCol w:w="146"/>
        <w:gridCol w:w="67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*Mainly comprises of the new lease for a factory in Romania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4.2. Lease liabilities</w:t>
      </w:r>
      <w:r>
        <w:rPr>
          <w:rFonts w:ascii="Times New Roman" w:hAnsi="Times New Roman"/>
          <w:color w:val="000000"/>
          <w:sz w:val="20"/>
        </w:rPr>
        <w:t xml:space="preserve"> </w:t>
      </w:r>
    </w:p>
    <w:tbl>
      <w:tblPr>
        <w:tblW w:w="5367" w:type="dxa"/>
        <w:jc w:val="left"/>
        <w:tblInd w:w="0" w:type="dxa"/>
        <w:tblLayout w:type="fixed"/>
        <w:tblCellMar>
          <w:top w:w="28" w:type="dxa"/>
          <w:left w:w="28" w:type="dxa"/>
          <w:bottom w:w="28" w:type="dxa"/>
          <w:right w:w="28" w:type="dxa"/>
        </w:tblCellMar>
      </w:tblPr>
      <w:tblGrid>
        <w:gridCol w:w="2866"/>
        <w:gridCol w:w="146"/>
        <w:gridCol w:w="146"/>
        <w:gridCol w:w="676"/>
        <w:gridCol w:w="146"/>
        <w:gridCol w:w="146"/>
        <w:gridCol w:w="185"/>
        <w:gridCol w:w="865"/>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movement in lease liabilities is as follows:</w:t>
      </w:r>
    </w:p>
    <w:tbl>
      <w:tblPr>
        <w:tblW w:w="6379" w:type="dxa"/>
        <w:jc w:val="left"/>
        <w:tblInd w:w="0" w:type="dxa"/>
        <w:tblLayout w:type="fixed"/>
        <w:tblCellMar>
          <w:top w:w="28" w:type="dxa"/>
          <w:left w:w="28" w:type="dxa"/>
          <w:bottom w:w="28" w:type="dxa"/>
          <w:right w:w="28" w:type="dxa"/>
        </w:tblCellMar>
      </w:tblPr>
      <w:tblGrid>
        <w:gridCol w:w="4066"/>
        <w:gridCol w:w="146"/>
        <w:gridCol w:w="146"/>
        <w:gridCol w:w="676"/>
        <w:gridCol w:w="166"/>
        <w:gridCol w:w="146"/>
        <w:gridCol w:w="146"/>
        <w:gridCol w:w="67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from financing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principal elements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changes from 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80707"/>
          <w:sz w:val="20"/>
        </w:rPr>
      </w:pPr>
      <w:r>
        <w:rPr>
          <w:rFonts w:ascii="Times New Roman" w:hAnsi="Times New Roman"/>
          <w:b/>
          <w:color w:val="080707"/>
          <w:sz w:val="20"/>
        </w:rPr>
        <w:t>5.</w:t>
      </w:r>
    </w:p>
    <w:p>
      <w:pPr>
        <w:pStyle w:val="TextBody"/>
        <w:bidi w:val="0"/>
        <w:spacing w:before="0" w:after="0"/>
        <w:jc w:val="left"/>
        <w:rPr>
          <w:rFonts w:ascii="Times New Roman" w:hAnsi="Times New Roman"/>
          <w:b/>
          <w:color w:val="080707"/>
          <w:sz w:val="20"/>
        </w:rPr>
      </w:pPr>
      <w:r>
        <w:rPr>
          <w:rFonts w:ascii="Times New Roman" w:hAnsi="Times New Roman"/>
          <w:b/>
          <w:color w:val="080707"/>
          <w:sz w:val="20"/>
        </w:rPr>
        <w:t>Taxation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Recognized in the unaudited interim condensed consolidated statement of comprehensive (loss) / income</w:t>
      </w:r>
    </w:p>
    <w:tbl>
      <w:tblPr>
        <w:tblW w:w="6319" w:type="dxa"/>
        <w:jc w:val="left"/>
        <w:tblInd w:w="0" w:type="dxa"/>
        <w:tblLayout w:type="fixed"/>
        <w:tblCellMar>
          <w:top w:w="28" w:type="dxa"/>
          <w:left w:w="28" w:type="dxa"/>
          <w:bottom w:w="28" w:type="dxa"/>
          <w:right w:w="28" w:type="dxa"/>
        </w:tblCellMar>
      </w:tblPr>
      <w:tblGrid>
        <w:gridCol w:w="4096"/>
        <w:gridCol w:w="146"/>
        <w:gridCol w:w="146"/>
        <w:gridCol w:w="631"/>
        <w:gridCol w:w="166"/>
        <w:gridCol w:w="146"/>
        <w:gridCol w:w="146"/>
        <w:gridCol w:w="63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on profits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Origination and reversal of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deferred tax </w:t>
      </w:r>
      <w:r>
        <w:rPr>
          <w:rFonts w:ascii="Times New Roman" w:hAnsi="Times New Roman"/>
          <w:color w:val="000000"/>
          <w:sz w:val="20"/>
          <w:u w:val="single"/>
        </w:rPr>
        <w:t>benefit recognized</w:t>
      </w:r>
      <w:r>
        <w:rPr>
          <w:rFonts w:ascii="Times New Roman" w:hAnsi="Times New Roman"/>
          <w:color w:val="000000"/>
          <w:sz w:val="20"/>
        </w:rPr>
        <w:t xml:space="preserve"> in the unaudited interim condensed consolidated statement of comprehensive income amounted to $2,493 (30 June 2025: expense of $926), out of which deferred tax benefit of $2,980 (30 June 2025: expense of $1,955) was recognized in the unaudited interim condensed consolidated statement of comprehensive income and an expense of $487 (30 June 2025: benefit of $1,029) was recognized in other comprehensive income.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5.2 Reconciliation of effective tax 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 UK tax resident company and UK companies are subject to an average income tax rate of 25% (2025: 25%). Therefore, this rate is used for reconciliation purposes.</w:t>
      </w:r>
    </w:p>
    <w:tbl>
      <w:tblPr>
        <w:tblW w:w="7819" w:type="dxa"/>
        <w:jc w:val="left"/>
        <w:tblInd w:w="0" w:type="dxa"/>
        <w:tblLayout w:type="fixed"/>
        <w:tblCellMar>
          <w:top w:w="28" w:type="dxa"/>
          <w:left w:w="28" w:type="dxa"/>
          <w:bottom w:w="28" w:type="dxa"/>
          <w:right w:w="28" w:type="dxa"/>
        </w:tblCellMar>
      </w:tblPr>
      <w:tblGrid>
        <w:gridCol w:w="5446"/>
        <w:gridCol w:w="146"/>
        <w:gridCol w:w="146"/>
        <w:gridCol w:w="736"/>
        <w:gridCol w:w="166"/>
        <w:gridCol w:w="146"/>
        <w:gridCol w:w="146"/>
        <w:gridCol w:w="676"/>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 profit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 / (benefit) using the UK corporation tax rate of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on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losses for which no deferred tax asset was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in tax-free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different tax rates in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 on Foreign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provision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Origination / (reversal) of temporary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Utilisation of previously unrecognised tax loss carry 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of deferred tax on recognized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*Non-deductible expenses mainly relate to initial public offering related costs, non-deductible under the UK tax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5.3 Deferred tax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unused tax losses were incurred by group entities that are not likely to generate taxable income in the foreseeable future or that have not yet produced sufficient positive evidence to support the creation of a deferred tax asset.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has unused tax losses of $123,445 (31 December 2025: $115,307) for which no deferred tax asset has been recognized, as it is not considered probable that sufficient taxable profits will be available against which these losses can be utilized. These losses were incurred by group entities that have not yet produced sufficient positive evidence to support creation of a deferred tax asset. The potential tax benefit of these losses, calculated at the applicable enacted tax rates, amounts to $23,963 (31 December 2025: $22,846). The unused tax losses can be carried forward indefinitely.</w:t>
      </w:r>
    </w:p>
    <w:p>
      <w:pPr>
        <w:pStyle w:val="TextBody"/>
        <w:bidi w:val="0"/>
        <w:spacing w:before="13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 Trade and other receivables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to an increase in production volumes, the Group was required to provide a temporary excise duty escrow of $9,028 in favour of the Polish tax authorities. The escrow arrangement is expected to unwind during the second half of the year, upon its replacement with a local bank guarantee.</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80707"/>
          <w:sz w:val="20"/>
        </w:rPr>
      </w:pPr>
      <w:r>
        <w:rPr>
          <w:rFonts w:ascii="Times New Roman" w:hAnsi="Times New Roman"/>
          <w:b/>
          <w:color w:val="080707"/>
          <w:sz w:val="20"/>
        </w:rPr>
        <w:t>7. Intangible assets</w:t>
      </w:r>
    </w:p>
    <w:tbl>
      <w:tblPr>
        <w:tblW w:w="10205" w:type="dxa"/>
        <w:jc w:val="left"/>
        <w:tblInd w:w="0" w:type="dxa"/>
        <w:tblLayout w:type="fixed"/>
        <w:tblCellMar>
          <w:top w:w="28" w:type="dxa"/>
          <w:left w:w="28" w:type="dxa"/>
          <w:bottom w:w="28" w:type="dxa"/>
          <w:right w:w="28" w:type="dxa"/>
        </w:tblCellMar>
      </w:tblPr>
      <w:tblGrid>
        <w:gridCol w:w="1616"/>
        <w:gridCol w:w="146"/>
        <w:gridCol w:w="146"/>
        <w:gridCol w:w="691"/>
        <w:gridCol w:w="166"/>
        <w:gridCol w:w="146"/>
        <w:gridCol w:w="146"/>
        <w:gridCol w:w="691"/>
        <w:gridCol w:w="146"/>
        <w:gridCol w:w="146"/>
        <w:gridCol w:w="146"/>
        <w:gridCol w:w="605"/>
        <w:gridCol w:w="166"/>
        <w:gridCol w:w="146"/>
        <w:gridCol w:w="146"/>
        <w:gridCol w:w="601"/>
        <w:gridCol w:w="146"/>
        <w:gridCol w:w="146"/>
        <w:gridCol w:w="146"/>
        <w:gridCol w:w="601"/>
        <w:gridCol w:w="166"/>
        <w:gridCol w:w="146"/>
        <w:gridCol w:w="155"/>
        <w:gridCol w:w="641"/>
        <w:gridCol w:w="166"/>
        <w:gridCol w:w="146"/>
        <w:gridCol w:w="155"/>
        <w:gridCol w:w="401"/>
        <w:gridCol w:w="146"/>
        <w:gridCol w:w="146"/>
        <w:gridCol w:w="146"/>
        <w:gridCol w:w="691"/>
        <w:gridCol w:w="21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Goodwill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b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Customer</w:t>
              <w:br/>
              <w:t>relationships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OOKA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intangibles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Development</w:t>
              <w:br/>
              <w:t>and IP under</w:t>
              <w:br/>
              <w:t>construction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Domains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386,904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internally</w:t>
              <w:br/>
              <w:t>   developed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externally</w:t>
              <w:br/>
              <w:t>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Disposal of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393,784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internally</w:t>
              <w:br/>
              <w:t>   developed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externally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Written off during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412,422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Amortisation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Amortisation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Disposal of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Amortisation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book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Other interest-bearing loans and borrowings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14 May 2026, the Group drew down USD 27,500 under its Revolving Credit Facility (RCF) mainly for working capital purposes. The interest recognized on the drawdown was $297 for the period ended 30 June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has various debt covenants related to its facilities which require maintaining certain financial ratios within stipulated limits. These financial ratios address the liquidity and capital structure of the Group. The Group was in compliance with the covenants as of 30 June 2026.</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Employee benefits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Share-based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Group operates multiple share-based payments plans for its senior management and junior employees. The schemes for the senior management are equity settled share-based payments whereby the senior management are entitled to receive shares in AIR Global PLC upon satisfying the relevant vesting conditions. The schemes for junior employees are cash settled share-based payments whereby these employees are entitled to receive cash amounts for the value of shares vested to them upon satisfying the vesting conditions.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uses a valuation report provided by an external expert to determine the fair value of the equity settled and cash-settled shares. The valuation report considers various factors such as the current market price of the Company's shares, the expected volatility of the share price, and the expected dividend yield.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 scheme charge:</w:t>
      </w:r>
    </w:p>
    <w:tbl>
      <w:tblPr>
        <w:tblW w:w="6929" w:type="dxa"/>
        <w:jc w:val="left"/>
        <w:tblInd w:w="0" w:type="dxa"/>
        <w:tblLayout w:type="fixed"/>
        <w:tblCellMar>
          <w:top w:w="28" w:type="dxa"/>
          <w:left w:w="28" w:type="dxa"/>
          <w:bottom w:w="28" w:type="dxa"/>
          <w:right w:w="28" w:type="dxa"/>
        </w:tblCellMar>
      </w:tblPr>
      <w:tblGrid>
        <w:gridCol w:w="4741"/>
        <w:gridCol w:w="146"/>
        <w:gridCol w:w="146"/>
        <w:gridCol w:w="676"/>
        <w:gridCol w:w="166"/>
        <w:gridCol w:w="146"/>
        <w:gridCol w:w="146"/>
        <w:gridCol w:w="57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 Scheme ("LTI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bonus scheme for senior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Incentive Plan ("MIP")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Matched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Retention award*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 on bonus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settled share-based payments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shared based payments consideration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settled annual bonus plan for junior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Group established a long-term incentive arrangement (the “Retention Award”) for 28 members of senior management and executive leadership. The Retention Award provides participants with rights to receive equity instruments of AIR Global PLC (formerly AIR Limited) and is accounted for as an equity-settled share-based payment arrangement in accordance with IFRS 2. The Retention Award comprises three tranches representing 12.5%, 12.5% and 75% of the maximum award, respectively. Tranches 1 and 2 are subject solely to service-based vesting conditions. Tranche 3 is subject to both a market-based performance condition, being Total Shareholder Return (“TSR”), and a service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at 30 June 2026, the specific TSR performance targets applicable to Tranche 3 had not been finalized or communicated to participants. Accordingly, management determined that the grant date for Tranche 3 had not occurred as of that date, as participants did not yet have a shared understanding of the relevant performance requirements. Notwithstanding the absence of a grant date for Tranche 3, employees commenced rendering services from 1 October 2025 pursuant to signed individual award letters. In accordance with IFRS 2, the Group recognized share-based compensation expense for services received. As at 30 June 2026 management performed assessment of the fair value of Tranche 3 in accordance with IFRS 2 requirements and concluded the change from most recent fair value assessment performed as at 31 March 2026 to be immaterial.</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Derivative financial instruments</w:t>
      </w:r>
    </w:p>
    <w:tbl>
      <w:tblPr>
        <w:tblW w:w="8982" w:type="dxa"/>
        <w:jc w:val="left"/>
        <w:tblInd w:w="0" w:type="dxa"/>
        <w:tblLayout w:type="fixed"/>
        <w:tblCellMar>
          <w:top w:w="28" w:type="dxa"/>
          <w:left w:w="28" w:type="dxa"/>
          <w:bottom w:w="28" w:type="dxa"/>
          <w:right w:w="28" w:type="dxa"/>
        </w:tblCellMar>
      </w:tblPr>
      <w:tblGrid>
        <w:gridCol w:w="6586"/>
        <w:gridCol w:w="146"/>
        <w:gridCol w:w="146"/>
        <w:gridCol w:w="571"/>
        <w:gridCol w:w="146"/>
        <w:gridCol w:w="146"/>
        <w:gridCol w:w="213"/>
        <w:gridCol w:w="837"/>
        <w:gridCol w:w="19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currency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warrants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foreign exchange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 - Greentank forward purchase contract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u w:val="single"/>
        </w:rPr>
      </w:pPr>
      <w:r>
        <w:rPr>
          <w:rFonts w:ascii="Times New Roman" w:hAnsi="Times New Roman"/>
          <w:color w:val="000000"/>
          <w:sz w:val="20"/>
          <w:u w:val="single"/>
        </w:rPr>
        <w:t>Interest rate swaps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2025, the Group entered into derivatives for economic hedging purposes and not as speculative investments. In particular, the Group uses interest rate swaps to minimise the effect of interest rate fluctuations on its borrowings. The contracts entered into by the Group are principally denominated in USD. The fair values of these contracts are recorded in the unaudited interim condensed consolidated statement of financial position and is determined by reference to valuations by reputable external financial institutions.</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rate swaps are commitments to exchange one set of cash flows for another. The swaps result in an economic exchange of interest rates, no exchange of principal takes place. These swap transactions entitle the Group to receive or pay amounts derived from interest rate differentials between an agreed fixed interest rate and the applicable floating rate prevailing at the beginning of each interest period. </w:t>
      </w:r>
    </w:p>
    <w:tbl>
      <w:tblPr>
        <w:tblW w:w="6315" w:type="dxa"/>
        <w:jc w:val="left"/>
        <w:tblInd w:w="0" w:type="dxa"/>
        <w:tblLayout w:type="fixed"/>
        <w:tblCellMar>
          <w:top w:w="28" w:type="dxa"/>
          <w:left w:w="28" w:type="dxa"/>
          <w:bottom w:w="28" w:type="dxa"/>
          <w:right w:w="28" w:type="dxa"/>
        </w:tblCellMar>
      </w:tblPr>
      <w:tblGrid>
        <w:gridCol w:w="3316"/>
        <w:gridCol w:w="146"/>
        <w:gridCol w:w="186"/>
        <w:gridCol w:w="999"/>
        <w:gridCol w:w="146"/>
        <w:gridCol w:w="146"/>
        <w:gridCol w:w="186"/>
        <w:gridCol w:w="999"/>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(current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(non-current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(current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(non-current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Sept 2027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Sept 2027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30 June 2026, the fixed interest rates range from 3.59% to 3.60% per annum (31 December 2025: 3.59% to 3.60% per annum). The floating rates are linked to Secured Overnight Financing Rate (“SOFR”). Hedge effectiveness is determined at the inception of the hedge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relationship, and through periodic prospective effectiveness assessments to ensure that an economic relationship exists between the hedged item and hedging instrument. Interest received for the period ended 30 June 2026 was $210 (30 June 2025: $266).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Hedge ineffectiveness for interest rate swaps is assessed using the following principles: </w:t>
      </w:r>
    </w:p>
    <w:p>
      <w:pPr>
        <w:pStyle w:val="TextBody"/>
        <w:bidi w:val="0"/>
        <w:jc w:val="both"/>
        <w:rPr>
          <w:rFonts w:ascii="Times New Roman" w:hAnsi="Times New Roman"/>
          <w:color w:val="000000"/>
          <w:sz w:val="20"/>
        </w:rPr>
      </w:pPr>
      <w:r>
        <w:rPr>
          <w:rFonts w:ascii="Times New Roman" w:hAnsi="Times New Roman"/>
          <w:color w:val="000000"/>
          <w:sz w:val="20"/>
        </w:rPr>
        <w:t>- the credit value / debit value adjustment on the interest rate swaps which is not matched by the loan, and</w:t>
      </w:r>
    </w:p>
    <w:p>
      <w:pPr>
        <w:pStyle w:val="TextBody"/>
        <w:bidi w:val="0"/>
        <w:jc w:val="both"/>
        <w:rPr>
          <w:rFonts w:ascii="Times New Roman" w:hAnsi="Times New Roman"/>
          <w:color w:val="000000"/>
          <w:sz w:val="20"/>
        </w:rPr>
      </w:pPr>
      <w:r>
        <w:rPr>
          <w:rFonts w:ascii="Times New Roman" w:hAnsi="Times New Roman"/>
          <w:color w:val="000000"/>
          <w:sz w:val="20"/>
        </w:rPr>
        <w:t>- differences in critical terms between the interest rate swaps and loans.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Movement in hedge reserve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reconciliation by risk category of components of equity and analysis of other comprehensive income items, net of tax, resulting from cash flow hedge accounting.</w:t>
      </w:r>
    </w:p>
    <w:tbl>
      <w:tblPr>
        <w:tblW w:w="7009" w:type="dxa"/>
        <w:jc w:val="left"/>
        <w:tblInd w:w="0" w:type="dxa"/>
        <w:tblLayout w:type="fixed"/>
        <w:tblCellMar>
          <w:top w:w="28" w:type="dxa"/>
          <w:left w:w="28" w:type="dxa"/>
          <w:bottom w:w="28" w:type="dxa"/>
          <w:right w:w="28" w:type="dxa"/>
        </w:tblCellMar>
      </w:tblPr>
      <w:tblGrid>
        <w:gridCol w:w="4936"/>
        <w:gridCol w:w="146"/>
        <w:gridCol w:w="146"/>
        <w:gridCol w:w="631"/>
        <w:gridCol w:w="166"/>
        <w:gridCol w:w="146"/>
        <w:gridCol w:w="146"/>
        <w:gridCol w:w="481"/>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to profit or loss from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movements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30 June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Changes in the fair market values of interest rate swaps that are considered effective and designated as cash flow hedges are recognized in the hedge reserve in other comprehensive income. Amounts are reclassified to profit or loss when the associated hedged transaction affects profit or loss. There was no ineffectiveness to be recorded from the cash flow hedges. The changes in fair values of interest rate swaps designated as cash flow hedges for the period ended 30 June 2026 amounted to a gain of $2,997 (30 June 2025: loss $954). The related tax benefit for the period was $226 (30 June 2025: charge $61), which has been recognized in other comprehensive (loss) / income and presented net against the fair value loss.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Currency swap contracts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During the six</w:t>
        <w:noBreakHyphen/>
        <w:t>month period ended 30 June 2026, the Group entered into a USD/PLN foreign exchange swap to manage short</w:t>
        <w:noBreakHyphen/>
        <w:t xml:space="preserve">term Polish Zloty (PLN) liquidity requirements. The original contract entered into on 17 April 2026 was settled on 26 June 2026 and simultaneously rolled forward into a new forward contract maturing on 27 July 2026 for the same notional amount of PLN 34,000. On settlement of the June 2026 leg, the Group received net cash of $230, which has been </w:t>
      </w:r>
      <w:r>
        <w:rPr>
          <w:rFonts w:ascii="Times New Roman" w:hAnsi="Times New Roman"/>
          <w:color w:val="000000"/>
          <w:sz w:val="20"/>
          <w:u w:val="single"/>
        </w:rPr>
        <w:t>recognized</w:t>
      </w:r>
      <w:r>
        <w:rPr>
          <w:rFonts w:ascii="Times New Roman" w:hAnsi="Times New Roman"/>
          <w:color w:val="000000"/>
          <w:sz w:val="20"/>
        </w:rPr>
        <w:t xml:space="preserve"> in profit or loss within “</w:t>
      </w:r>
      <w:r>
        <w:rPr>
          <w:rFonts w:ascii="Times New Roman" w:hAnsi="Times New Roman"/>
          <w:color w:val="000000"/>
          <w:sz w:val="20"/>
          <w:u w:val="single"/>
        </w:rPr>
        <w:t>net</w:t>
      </w:r>
      <w:r>
        <w:rPr>
          <w:rFonts w:ascii="Times New Roman" w:hAnsi="Times New Roman"/>
          <w:color w:val="000000"/>
          <w:sz w:val="20"/>
        </w:rPr>
        <w:t xml:space="preserve"> foreign exchange gains/(losses)”.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at 30 June 2026, the Group held one outstanding USD/PLN forward contract. The contract was recognized as a derivative financial asset and measured at fair value through profit or loss. The fair value of the contract at 30 June 2026 was $27, and the resulting fair value gain of $27 was recognized in profit or loss during the period.</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Foreign exchange forward contracts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w:t>
        <w:noBreakHyphen/>
        <w:t>month period ended 30 June 2026, the Group entered into a number of EUR/USD foreign exchange forward contracts to economically manage its exposure to fluctuations in foreign currency exchange rates. The contracts were entered into between May and June 2026 and have maturities ranging from July 2026 to December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at 30 June 2026, the Group held outstanding EUR/USD forward contracts with an aggregate negative mark</w:t>
        <w:noBreakHyphen/>
        <w:t>to</w:t>
        <w:noBreakHyphen/>
        <w:t xml:space="preserve">market value of $196, which is measured at fair value through profit or loss and recognized as a derivative liability. The impact of fair value on the outstanding forward contract as at 30 June 2026 amounted to $196 and has been recognized in profit or loss during the period. </w:t>
      </w:r>
    </w:p>
    <w:p>
      <w:pPr>
        <w:pStyle w:val="TextBody"/>
        <w:bidi w:val="0"/>
        <w:jc w:val="both"/>
        <w:rPr/>
      </w:pPr>
      <w:r>
        <w:rPr/>
        <w:t> </w:t>
      </w:r>
    </w:p>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11. Financial risk management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the Group was exposed to USD/PLN and USD/EUR exchange rate movements arising from future liquidity arrangements. The Group managed this exposure through foreign exchange derivatives, including currency swap and foreign exchange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forward contracts. These instruments are not designated as hedging instruments and are accounted for at fair value through profit or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Group’s remaining risk management objectives and policies are consistent with those disclosed in the consolidated financial statements for the year ended 31 December 2025.</w:t>
      </w:r>
    </w:p>
    <w:p>
      <w:pPr>
        <w:pStyle w:val="TextBody"/>
        <w:bidi w:val="0"/>
        <w:jc w:val="both"/>
        <w:rPr/>
      </w:pPr>
      <w:r>
        <w:rPr/>
        <w:t>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 Fair value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instruments comprise financial assets and financial liabilities. Financial assets consist of trade and other receivables (excluding prepayments, VAT and tax receivable, prepayments for income tax, advance payments to suppliers and excise tax), financial asset at FVOCI, derivative financial instruments and assets, and cash and cash equivalents. Financial liabilities consist of trade and other payables (excluding advance payments from customers, staff bonus provision, excise tax and VAT payables), other interest-bearing loans and borrowings, derivative financial instruments, lease liabilities and payables relating to acquisitions. The fair values of financial instruments approximate their carrying values.</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table below analyses financial instruments, into a fair value hierarchy based on the valuation technique used to determine fair value.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quoted prices (unadjusted) in active markets for identical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inputs other than quoted prices included within Level 1 that are observable for the asset or liability, either directly (i.e. as prices) or indirectly (i.e. derived from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inputs for the asset or liability that are not based on observable market data (unobservable inputs).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financial instruments that are not traded in an active market is based on valuation techniques. These valuation techniques maximise the use of observable market data where it is available and rely as little as possible on entity specific estimates. If all significant inputs required to fair value an instrument are observable, these instruments are included in level 2. All derivative financial instruments held by the Group have been categorised as level 2 as shown below, where the fair valuation of such instruments has been determined based on discounting future cash flows using observable discount factors. Future cash flows are estimated based on forward interest rates. There is no change in the valuation technique in comparison to prior years. If one or more of the significant inputs is not based on observable market data, these instruments are included in level 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Group's assets and liabilities that are measured at fair value at 30 June 2026:</w:t>
      </w:r>
    </w:p>
    <w:tbl>
      <w:tblPr>
        <w:tblW w:w="8971" w:type="dxa"/>
        <w:jc w:val="left"/>
        <w:tblInd w:w="0" w:type="dxa"/>
        <w:tblLayout w:type="fixed"/>
        <w:tblCellMar>
          <w:top w:w="28" w:type="dxa"/>
          <w:left w:w="28" w:type="dxa"/>
          <w:bottom w:w="28" w:type="dxa"/>
          <w:right w:w="28" w:type="dxa"/>
        </w:tblCellMar>
      </w:tblPr>
      <w:tblGrid>
        <w:gridCol w:w="3886"/>
        <w:gridCol w:w="146"/>
        <w:gridCol w:w="152"/>
        <w:gridCol w:w="629"/>
        <w:gridCol w:w="146"/>
        <w:gridCol w:w="146"/>
        <w:gridCol w:w="167"/>
        <w:gridCol w:w="688"/>
        <w:gridCol w:w="146"/>
        <w:gridCol w:w="146"/>
        <w:gridCol w:w="187"/>
        <w:gridCol w:w="443"/>
        <w:gridCol w:w="146"/>
        <w:gridCol w:w="146"/>
        <w:gridCol w:w="146"/>
        <w:gridCol w:w="511"/>
        <w:gridCol w:w="146"/>
        <w:gridCol w:w="146"/>
        <w:gridCol w:w="146"/>
        <w:gridCol w:w="51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asset at FVOCI - Series 7 Preferred Shares of</w:t>
              <w:br/>
              <w:t>   Greentank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 - warrants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 - currency exchange</w:t>
              <w:br/>
              <w:t>   contracts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 designated as a cash flow hedge - Interest</w:t>
              <w:br/>
              <w:t>   rate swaps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8827" w:type="dxa"/>
        <w:jc w:val="left"/>
        <w:tblInd w:w="0" w:type="dxa"/>
        <w:tblLayout w:type="fixed"/>
        <w:tblCellMar>
          <w:top w:w="28" w:type="dxa"/>
          <w:left w:w="28" w:type="dxa"/>
          <w:bottom w:w="28" w:type="dxa"/>
          <w:right w:w="28" w:type="dxa"/>
        </w:tblCellMar>
      </w:tblPr>
      <w:tblGrid>
        <w:gridCol w:w="3796"/>
        <w:gridCol w:w="146"/>
        <w:gridCol w:w="218"/>
        <w:gridCol w:w="563"/>
        <w:gridCol w:w="146"/>
        <w:gridCol w:w="146"/>
        <w:gridCol w:w="239"/>
        <w:gridCol w:w="616"/>
        <w:gridCol w:w="146"/>
        <w:gridCol w:w="146"/>
        <w:gridCol w:w="187"/>
        <w:gridCol w:w="443"/>
        <w:gridCol w:w="146"/>
        <w:gridCol w:w="146"/>
        <w:gridCol w:w="176"/>
        <w:gridCol w:w="454"/>
        <w:gridCol w:w="146"/>
        <w:gridCol w:w="146"/>
        <w:gridCol w:w="176"/>
        <w:gridCol w:w="454"/>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instruments - foreign exchange</w:t>
              <w:br/>
              <w:t>   forward contracts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 - Greentank forward</w:t>
              <w:br/>
              <w:t>   purchase contract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Group's assets and liabilities that are measured at fair value at 31 December 2025:</w:t>
      </w:r>
    </w:p>
    <w:p>
      <w:pPr>
        <w:pStyle w:val="TextBody"/>
        <w:bidi w:val="0"/>
        <w:jc w:val="left"/>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tbl>
      <w:tblPr>
        <w:tblW w:w="9604" w:type="dxa"/>
        <w:jc w:val="left"/>
        <w:tblInd w:w="0" w:type="dxa"/>
        <w:tblLayout w:type="fixed"/>
        <w:tblCellMar>
          <w:top w:w="28" w:type="dxa"/>
          <w:left w:w="28" w:type="dxa"/>
          <w:bottom w:w="28" w:type="dxa"/>
          <w:right w:w="28" w:type="dxa"/>
        </w:tblCellMar>
      </w:tblPr>
      <w:tblGrid>
        <w:gridCol w:w="4486"/>
        <w:gridCol w:w="146"/>
        <w:gridCol w:w="159"/>
        <w:gridCol w:w="622"/>
        <w:gridCol w:w="146"/>
        <w:gridCol w:w="146"/>
        <w:gridCol w:w="174"/>
        <w:gridCol w:w="681"/>
        <w:gridCol w:w="146"/>
        <w:gridCol w:w="146"/>
        <w:gridCol w:w="187"/>
        <w:gridCol w:w="443"/>
        <w:gridCol w:w="146"/>
        <w:gridCol w:w="146"/>
        <w:gridCol w:w="146"/>
        <w:gridCol w:w="571"/>
        <w:gridCol w:w="146"/>
        <w:gridCol w:w="146"/>
        <w:gridCol w:w="187"/>
        <w:gridCol w:w="443"/>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transfers between the levels for recurring fair value measured during the year. The group’s policy is to recognise transfers into and out of fair value hierarchy levels as at the end of the reporting period. The group did not change any valuation techniques in determining the level 2 and level 3 fair values. </w:t>
      </w:r>
    </w:p>
    <w:p>
      <w:pPr>
        <w:pStyle w:val="TextBody"/>
        <w:bidi w:val="0"/>
        <w:spacing w:before="240" w:after="283"/>
        <w:jc w:val="both"/>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Derivatives designated as a cash flow hedge - interest rate swaps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30 June 2026 and 31 December 2025, the Group applies valuation techniques based on the present value of estimated future cash flows, utilizing observable yield curves as the primary input to fair value the financial instrument.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30 June 2026 and 31 December 2025, management has assessed that the fair values of the Group’s financial instruments are estimated to approximate their carrying values since the financial instruments are either short term in nature or carry interest rates which are based on prevailing market interest rates and / or are expected to be realized at their current carrying values within twelve months from the date of the unaudited interim condensed consolidated statement of financial position.</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Derivative financial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interest rate swaps, the Group held a foreign exchange forward contract and currency swap contracts as at 30 June 2026, which is classified as a Level 2 financial instrument, with fair value determined using observable forward exchange rates.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Level 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measures its financial asset at FVOCI, and related warrants and Greentank forward purchase contract at fair value at each reporting date.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the financial asset at FVOCI and derivative financial instruments are not traded in an active market, fair value is determined using valuation techniques incorporating both observable and unobservable market data. Significant judgment is required in determining the assumptions used in the valuation of the instruments. The valuations are therefore classified within Level 3 of the fair value hierarchy.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Valuation Techniques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valuation techniques were used to measure the financial instruments categorized within Level 3 of the fair value hierarchy:</w:t>
      </w:r>
    </w:p>
    <w:tbl>
      <w:tblPr>
        <w:tblW w:w="10205" w:type="dxa"/>
        <w:jc w:val="left"/>
        <w:tblInd w:w="0" w:type="dxa"/>
        <w:tblLayout w:type="fixed"/>
        <w:tblCellMar>
          <w:top w:w="28" w:type="dxa"/>
          <w:left w:w="28" w:type="dxa"/>
          <w:bottom w:w="28" w:type="dxa"/>
          <w:right w:w="28" w:type="dxa"/>
        </w:tblCellMar>
      </w:tblPr>
      <w:tblGrid>
        <w:gridCol w:w="2198"/>
        <w:gridCol w:w="146"/>
        <w:gridCol w:w="7861"/>
      </w:tblGrid>
      <w:tr>
        <w:trPr/>
        <w:tc>
          <w:tcPr>
            <w:tcW w:w="2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 at FVOCI - Series 7 Preferred Shares of Greentank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Pricing Method using a Black-Scholes framework to allocate Greentank's total equity value across its outstanding share classes at the breakpoints where returns shift between classes, reflecting each class's respective liquidation preferences and participation rights. The model was calibrated to the Series 7 investment as at the transaction date.</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Pricing Method using a Black-Scholes framework. The warrants are valued within the same equity allocation as the preferred shares and represent the entitlement to value above the level at which they become economic to exercise, reflecting the contractual exercise price, expected volatility, remaining contractual term and the risk-free rate.</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 - Greentank forward purchase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valuation measured as the fair value of the underlying second-tranche Series 7 preferred shares and second tranche warrants, each derived from the Option Pricing Method, compared against the contractual subscription price discounted to the measurement date.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valuation techniques used during the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Valuation inputs and relationships to fair value</w:t>
        <w:b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summaries the quantitative information about the significant unobservable inputs used in level 3 fair value measurements (see (i) above for the valuation techniques adopted) and how reasonable change in the input would affect the fair value: </w:t>
      </w:r>
    </w:p>
    <w:tbl>
      <w:tblPr>
        <w:tblW w:w="10205" w:type="dxa"/>
        <w:jc w:val="left"/>
        <w:tblInd w:w="0" w:type="dxa"/>
        <w:tblLayout w:type="fixed"/>
        <w:tblCellMar>
          <w:top w:w="28" w:type="dxa"/>
          <w:left w:w="28" w:type="dxa"/>
          <w:bottom w:w="28" w:type="dxa"/>
          <w:right w:w="28" w:type="dxa"/>
        </w:tblCellMar>
      </w:tblPr>
      <w:tblGrid>
        <w:gridCol w:w="2408"/>
        <w:gridCol w:w="146"/>
        <w:gridCol w:w="541"/>
        <w:gridCol w:w="1872"/>
        <w:gridCol w:w="166"/>
        <w:gridCol w:w="146"/>
        <w:gridCol w:w="400"/>
        <w:gridCol w:w="1402"/>
        <w:gridCol w:w="166"/>
        <w:gridCol w:w="146"/>
        <w:gridCol w:w="650"/>
        <w:gridCol w:w="1948"/>
        <w:gridCol w:w="214"/>
      </w:tblGrid>
      <w:tr>
        <w:trPr/>
        <w:tc>
          <w:tcPr>
            <w:tcW w:w="2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 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 at FVOCI - Series 7 Preferred Shares of Greentank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financial instruments -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financial instrument - Greentank forward purchase contract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Sensitivity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Volatility is estimated at 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increase in expected volatility from 80% to 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decrease in expected volatility from 80% to 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 equity value / market-movement</w:t>
              <w:br/>
              <w:t>   adjustment is estimated at -1.66%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increase in Greentank’s total equity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decrease in Greentank’s total equity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 xml:space="preserve">Volatility: </w:t>
      </w:r>
      <w:r>
        <w:rPr>
          <w:rFonts w:ascii="Times New Roman" w:hAnsi="Times New Roman"/>
          <w:color w:val="000000"/>
          <w:sz w:val="20"/>
        </w:rPr>
        <w:t xml:space="preserve">A higher volatility increases the value of the warrants and reduces value of the Series 7 Preferred Shares of Greentank. A 10% increase in the volatility increases the warrants by $432 and decreases the value of Series 7 Preferred Shares of Greentank by $388 and increases the value of the Greentank forward purchase contract by $44. A 10% decrease in the volatility decreases the warrants by $402 and increases the value of Series 7 Preferred Shares of Greentank by $393 and decreases the value of the Greentank forward purchase contract by $8.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 xml:space="preserve">Company equity value / market-movement adjustment: </w:t>
      </w:r>
      <w:r>
        <w:rPr>
          <w:rFonts w:ascii="Times New Roman" w:hAnsi="Times New Roman"/>
          <w:color w:val="000000"/>
          <w:sz w:val="20"/>
        </w:rPr>
        <w:t xml:space="preserve">A 10% increase in the Company equity value / market-movement adjustment increases the warrants by $305 and increases the value of Series 7 Preferred Shares of Greentank by $572 and increases the value of the Greentank forward purchase contract by $877. A 10% decrease in the volatility decreases the warrants by $277 and decreases the value of Series 7 Preferred Shares of Greentank by $598 and decreases the value of the Greentank forward purchase contract by $875.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Valuation process</w:t>
      </w:r>
    </w:p>
    <w:p>
      <w:pPr>
        <w:pStyle w:val="TextBody"/>
        <w:bidi w:val="0"/>
        <w:jc w:val="left"/>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Group's finance function includes a financial reporting team that responsible for the determination and review of fair values required for financial reporting purposes, including instruments classified within Level 3 of the fair value hierarchy. Management determined the fair values of the Series 7 Preferred Shares, First Warrant and Second Subscription Forward Contract with the assistance of an independent valuation specialist. The valuation techniques, significant assumptions and resulting fair values were reviewed by the Group’s finance function and management as part of the quarter-end financial reporting process.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 Bank guarantees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30 June 2026, the Group has provided performance guarantees of $26,266 (31 December 2025: $8,299) to various government authorities. These guarantees are issued to support the Group's contractual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portion of this guarantee is withheld by the bank under the normal terms of business and at 30 June 2026, $19,170 (31 December 2025: $964) is included within refundable deposits.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Restricted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is involved in ongoing legal disputes with an individual who acted as the local sponsor to one of its UAE entities from 1999 to 2023, which is currently non-operational. Since 2024, that individual has initiated several legal proceedings against the Group and certain former employees. In January 2026, the Company issued a bank guarantee in favour of the UAE Courts in the amount of $18,200, which has been classified as a restricted deposit. The guarantee was provided as a precautionary measure to prevent any attachment of productive assets owned by the Group’s UAE subsidiary. Following this temporary disruption, the Group’s factory resumed operations and continues to operate in the ordinary course of business. The guarantee may only be called upon following the issuance of a final, non-appealable judgment. The status of the guarantee remains contingent on the findings and further hearings which are expected in the second half of 2026.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Related parties include the ultimate controlling party, subsidiaries, joint ventures, key management personnel, and businesses which are controlled directly or indirectly by them or over which they exercise significant management influence (“affiliates”). In addition, members of the Board of Directors, executives with strategic responsibilities and their close family members are also considered related parties. Individuals that have the ability to exercise significant influence over the Group through share ownership, strategic relationships and significant commercial interactions with the Group, together with entities controlled by such individuals, are also considered as related parties. The Group carries out transactions with its related parties on commercial terms that are normal in the respective markets, considering the characteristics of the goods or services involved.</w:t>
      </w:r>
    </w:p>
    <w:p>
      <w:pPr>
        <w:pStyle w:val="TextBody"/>
        <w:bidi w:val="0"/>
        <w:spacing w:before="360" w:after="283"/>
        <w:jc w:val="both"/>
        <w:rPr>
          <w:rFonts w:ascii="Times New Roman" w:hAnsi="Times New Roman"/>
          <w:sz w:val="20"/>
        </w:rPr>
      </w:pPr>
      <w:r>
        <w:rPr>
          <w:rFonts w:ascii="Times New Roman" w:hAnsi="Times New Roman"/>
          <w:b/>
          <w:color w:val="000000"/>
          <w:sz w:val="20"/>
        </w:rPr>
        <w:t>Transactions with key management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 of the Group and their immediate relatives control 61.7% of the voting shares of the Group. During the period ended 30 June 2026, the Group had 19 individuals (2025: 17) identified as key management personnel, including 8 Directors (2025: 5). The compensation of key management personnel (including Directors) is as follows:</w:t>
      </w:r>
    </w:p>
    <w:p>
      <w:pPr>
        <w:pStyle w:val="TextBody"/>
        <w:bidi w:val="0"/>
        <w:jc w:val="both"/>
        <w:rPr/>
      </w:pPr>
      <w:r>
        <w:rPr/>
        <w:t> </w:t>
      </w:r>
    </w:p>
    <w:tbl>
      <w:tblPr>
        <w:tblW w:w="6677" w:type="dxa"/>
        <w:jc w:val="left"/>
        <w:tblInd w:w="0" w:type="dxa"/>
        <w:tblLayout w:type="fixed"/>
        <w:tblCellMar>
          <w:top w:w="28" w:type="dxa"/>
          <w:left w:w="28" w:type="dxa"/>
          <w:bottom w:w="28" w:type="dxa"/>
          <w:right w:w="28" w:type="dxa"/>
        </w:tblCellMar>
      </w:tblPr>
      <w:tblGrid>
        <w:gridCol w:w="2491"/>
        <w:gridCol w:w="146"/>
        <w:gridCol w:w="146"/>
        <w:gridCol w:w="571"/>
        <w:gridCol w:w="146"/>
        <w:gridCol w:w="146"/>
        <w:gridCol w:w="146"/>
        <w:gridCol w:w="571"/>
        <w:gridCol w:w="146"/>
        <w:gridCol w:w="146"/>
        <w:gridCol w:w="146"/>
        <w:gridCol w:w="676"/>
        <w:gridCol w:w="146"/>
        <w:gridCol w:w="146"/>
        <w:gridCol w:w="146"/>
        <w:gridCol w:w="57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 employment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right"/>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Other related 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period, the Group made sales on mutually agreed terms to a number of customers which are deemed to be related parties on the basis that they are owned and controlled by Mr. Khaleel Mamoori who is a shareholder of the ultimate parent undertaking, AIR Global PLC, and the former board member of AIR Limited, or those entities which are held as joint ventures by the Group. The amounts due from related parties are interest free and are classified as current based on agreed payment terms. The sales to these related parties were as follows: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Sales to related parties</w:t>
      </w:r>
    </w:p>
    <w:tbl>
      <w:tblPr>
        <w:tblW w:w="8496" w:type="dxa"/>
        <w:jc w:val="left"/>
        <w:tblInd w:w="0" w:type="dxa"/>
        <w:tblLayout w:type="fixed"/>
        <w:tblCellMar>
          <w:top w:w="28" w:type="dxa"/>
          <w:left w:w="28" w:type="dxa"/>
          <w:bottom w:w="28" w:type="dxa"/>
          <w:right w:w="28" w:type="dxa"/>
        </w:tblCellMar>
      </w:tblPr>
      <w:tblGrid>
        <w:gridCol w:w="4291"/>
        <w:gridCol w:w="146"/>
        <w:gridCol w:w="1786"/>
        <w:gridCol w:w="146"/>
        <w:gridCol w:w="146"/>
        <w:gridCol w:w="676"/>
        <w:gridCol w:w="146"/>
        <w:gridCol w:w="146"/>
        <w:gridCol w:w="146"/>
        <w:gridCol w:w="676"/>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Nature of</w:t>
              <w:br/>
              <w:t>the transaction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Fakher Al Mithaliya for Manufacturing Tobacco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KMMS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ZeroSmoke F.Z.C.*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Raed General Trading (FZE)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Subsequent to the period end, ZeroSmoke has been fully acquired by the Group. (Note 19).</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Related party balances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due from related parties were as follows: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Amounts due from related parties (Note 12)</w:t>
      </w:r>
    </w:p>
    <w:tbl>
      <w:tblPr>
        <w:tblW w:w="6792" w:type="dxa"/>
        <w:jc w:val="left"/>
        <w:tblInd w:w="0" w:type="dxa"/>
        <w:tblLayout w:type="fixed"/>
        <w:tblCellMar>
          <w:top w:w="28" w:type="dxa"/>
          <w:left w:w="28" w:type="dxa"/>
          <w:bottom w:w="28" w:type="dxa"/>
          <w:right w:w="28" w:type="dxa"/>
        </w:tblCellMar>
      </w:tblPr>
      <w:tblGrid>
        <w:gridCol w:w="4291"/>
        <w:gridCol w:w="146"/>
        <w:gridCol w:w="146"/>
        <w:gridCol w:w="676"/>
        <w:gridCol w:w="146"/>
        <w:gridCol w:w="146"/>
        <w:gridCol w:w="185"/>
        <w:gridCol w:w="865"/>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Fakher Al Mithaliya for Manufacturing Tobacco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ZeroSmoke F.Z.C.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Cloudz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KMMS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Capital and reserves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Share capital</w:t>
      </w:r>
    </w:p>
    <w:tbl>
      <w:tblPr>
        <w:tblW w:w="8359" w:type="dxa"/>
        <w:jc w:val="left"/>
        <w:tblInd w:w="0" w:type="dxa"/>
        <w:tblLayout w:type="fixed"/>
        <w:tblCellMar>
          <w:top w:w="28" w:type="dxa"/>
          <w:left w:w="28" w:type="dxa"/>
          <w:bottom w:w="28" w:type="dxa"/>
          <w:right w:w="28" w:type="dxa"/>
        </w:tblCellMar>
      </w:tblPr>
      <w:tblGrid>
        <w:gridCol w:w="5221"/>
        <w:gridCol w:w="146"/>
        <w:gridCol w:w="146"/>
        <w:gridCol w:w="1141"/>
        <w:gridCol w:w="166"/>
        <w:gridCol w:w="146"/>
        <w:gridCol w:w="146"/>
        <w:gridCol w:w="1036"/>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issue at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49,774,855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49,620,534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cancellations*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converted as a part of the BCA transaction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(49,696,442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Company as a part of the BCA transaction</w:t>
              <w:br/>
              <w:t>(Note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160,386,602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reporting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160,386,602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49,774,855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*Cancellation of forfeitable shares previously granted under the Group's share-based payment scheme as a result of the relevant market performance condition not being satisfied.</w:t>
      </w:r>
    </w:p>
    <w:tbl>
      <w:tblPr>
        <w:tblW w:w="8627" w:type="dxa"/>
        <w:jc w:val="left"/>
        <w:tblInd w:w="0" w:type="dxa"/>
        <w:tblLayout w:type="fixed"/>
        <w:tblCellMar>
          <w:top w:w="28" w:type="dxa"/>
          <w:left w:w="28" w:type="dxa"/>
          <w:bottom w:w="28" w:type="dxa"/>
          <w:right w:w="28" w:type="dxa"/>
        </w:tblCellMar>
      </w:tblPr>
      <w:tblGrid>
        <w:gridCol w:w="6226"/>
        <w:gridCol w:w="146"/>
        <w:gridCol w:w="200"/>
        <w:gridCol w:w="475"/>
        <w:gridCol w:w="146"/>
        <w:gridCol w:w="146"/>
        <w:gridCol w:w="146"/>
        <w:gridCol w:w="931"/>
        <w:gridCol w:w="2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capital: 253,220,000 shares of $19.7456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capital: 600,000,000 shares of $0.0001 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Allotted, called up and fully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49,774,855 ordinary shares of $19.7456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Ordinary share of $19.7456 each issued at a discount of $18.7456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712,748 Ordinary shares of $19.7456 each issued at a discount of $19.7356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160,386,602 ordinary shares of $0.0001 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at reporting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(Loss) / earnings per share</w:t>
      </w:r>
    </w:p>
    <w:tbl>
      <w:tblPr>
        <w:tblW w:w="9957" w:type="dxa"/>
        <w:jc w:val="left"/>
        <w:tblInd w:w="0" w:type="dxa"/>
        <w:tblLayout w:type="fixed"/>
        <w:tblCellMar>
          <w:top w:w="28" w:type="dxa"/>
          <w:left w:w="28" w:type="dxa"/>
          <w:bottom w:w="28" w:type="dxa"/>
          <w:right w:w="28" w:type="dxa"/>
        </w:tblCellMar>
      </w:tblPr>
      <w:tblGrid>
        <w:gridCol w:w="4096"/>
        <w:gridCol w:w="146"/>
        <w:gridCol w:w="146"/>
        <w:gridCol w:w="1006"/>
        <w:gridCol w:w="166"/>
        <w:gridCol w:w="146"/>
        <w:gridCol w:w="146"/>
        <w:gridCol w:w="1006"/>
        <w:gridCol w:w="146"/>
        <w:gridCol w:w="146"/>
        <w:gridCol w:w="146"/>
        <w:gridCol w:w="1006"/>
        <w:gridCol w:w="166"/>
        <w:gridCol w:w="146"/>
        <w:gridCol w:w="146"/>
        <w:gridCol w:w="100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(Losses) / earnings for the purposes of basic and diluted</w:t>
              <w:br/>
              <w:t>   earnings per share as profit for the period attributable</w:t>
              <w:br/>
              <w:t>   to the ordinary equity holders of the parent</w:t>
              <w:br/>
              <w:t>   company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143,619,180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143,416,948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Basic (loss) / earnings per share attributable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of diluted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143,646,993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143,633,238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Diluted (loss) / earnings per share attributable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Weighted average number of shares used as the</w:t>
              <w:br/>
              <w:t>   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ordinary shares used as the</w:t>
              <w:br/>
              <w:t>   denominator in calculating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143,619,180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143,416,948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for calculation of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share options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ordinary shares and</w:t>
              <w:br/>
              <w:t>   potential ordinary shares used as the denominator</w:t>
              <w:br/>
              <w:t>   in calculating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143,646,993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143,633,238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BCA transaction</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15 May 2026, AIR Holdings Limited (now AIR Global PLC), CAEP, AIR, Cayman Merger Sub and Jersey Merger Sub completed the BCA transaction, which consisted of, among other things, the following transactions: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Cayman Merger Sub merged with and into CAEP, as a result of which (i) the separate corporate existence of Cayman Merger Sub ceased and CAEP continued as the surviving entity in the Cayman Merger and a wholly owned direct subsidiary of AIR Holdings, and (ii) each issued and outstanding CAEP Class A Ordinary Share, including those converted from CAEP Class B Ordinary Shares (other than those surrendered by the Sponsor) but excluding any CAEP shares held in treasury (“CAEP Excluded Shares”), CAEP shares for which the applicable holder exercised their redemption right (“CAEP Redeeming Shares”) or CAEP shares for which holders exercised their dissenters’ rights (“CAEP Dissenting Shares”), are no longer outstanding and have been cancelled, in exchange for the Per Share Cayman Consideration equal to one ordinary share of AIR Holdings.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CAEP Excluded Share, CAEP Redeeming Share and CAEP Dissenting Share has been cancelled and has ceased to exist.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1,500,000 of the ordinary shares of AIR Holdings received by Cantor EP Holdings III, LLC (“Sponsor”) have been designated as “Sponsor Earnout Shares” and are subject to redesignation, redemption and cancellation by AIR Holdings if a release event has not occurred on or prior to the date which is five years following the transaction date (“Termination Date”). A release event includes the following: (a) an Early Release Event as defined in the Sponsor Support Agreement, (b) for 750,000 of the Sponsor Earnout Shares, a closing price of the AIR Holdings ordinary shares on the principal exchange on which such securities are then listed or quoted is at or above $12.50 for 20 trading days (which need not be consecutive) over a consecutive 30 trading day period at any time after the transaction date and on or prior to the Termination Date, and (c) for the remaining 750,000 of the Sponsor Earnout Shares, a closing price of the AIR Holdings ordinary shares on the principal exchange on which such securities are then listed or quoted is at or above $15.00 for 20 trading days (which need not be consecutive) over a consecutive 30 trading day period at any time after the transaction date and on or prior to the Termination 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share of Cayman Merger Sub continues to exist and is being held by AIR Holdings and constitutes the only issued and outstanding shares in the capital of CAEP as the surviving Cayman entity.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Jersey Merger Sub merged with and into AIR, as a result of which (i) the separate corporate existence of Jersey Merger Sub ceased and AIR continued as the surviving entity and a wholly owned subsidiary of AIR Holdings, and (ii) each issued and outstanding ordinary share of AIR was transferred to AIR Holdings in exchange for the right of the holder thereof to receive the ordinary shares of AIR Holdings at a specified exchange ratio.</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portion of the AIR Holdings ordinary shares issuable in respect of AIR ordinary shares were designated as “AIR Earnout Shares” and are subject to redesignation, redemption and cancellation until the earlier of (a) an Early Release Event as defined in the Business Combination Agreement and (b) the last trading date of the period in which the closing price of the AIR Holdings ordinary shares on the principal exchange which such securities are then listed or quoted is at or above $12.50 for 20 trading days (which need not be consecutive) over a consecutive 30 trading day period at any time during the period of five years following the transaction date. In the event that the conditions described above have not occurred on or prior to the date which is 5 years following the transaction date, the AIR Earnout Shares will be automatically redesigned, redeemed, and cancelled.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party to the Business Combination Agreement ensured that the AIR Holdings board of directors initially comprised of, and the officers of AIR Holdings were initially, the individuals designated by AIR, subject to applicable listing requirements, prior to the transaction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special resolution of the holders of AIR Holdings ordinary shares, the AIR Holdings shareholders approved the adoption of the A&amp;R AIR Holdings Articles of Incorporation.</w:t>
      </w:r>
    </w:p>
    <w:p>
      <w:pPr>
        <w:pStyle w:val="TextBody"/>
        <w:bidi w:val="0"/>
        <w:jc w:val="both"/>
        <w:rPr/>
      </w:pPr>
      <w:r>
        <w:rPr/>
        <w:t> </w:t>
      </w:r>
    </w:p>
    <w:p>
      <w:pPr>
        <w:pStyle w:val="TextBody"/>
        <w:bidi w:val="0"/>
        <w:jc w:val="both"/>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Holdings adopted the A&amp;R AIR Holdings Articles of Incorporation and converted from a private limited company into a public limited company and the ordinary shares in the capital of AIR Holdings which were issued to the AIR Holdings nominees on the incorporation of AIR Holdings were redesignated as redeemable deferred shares and then immediately redeemed and cancelled.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Subsequent to the Closing Date, AIR Global will issue the Company Top Up Awards under the AIR Global Equity Incentive Plan, which will vest and be settled following the expiration of the six-month lock-up period after the Closing 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Subsequent to the Closing Date, AIR Global will issue to each holder of a vested AIR equity award who remains employed by AIR Global or one of its subsidiaries an AIR Global Earnout RSU award under the AIR Global Equity Incentive Plan. Each such holder will be entitled to receive the number of AIR Global Earnout RSUs equal to the number of AIR Earnout Shares such holder would have received if he or she had held the number of AIR ordinary shares exercisable under a vested AIR equity award. The AIR Global Earnout RSUs will be subject to the same vesting requirements as the AIR Earnout Shares, provided that the vesting of such AIR Global Earnout RSUs will also be subject to such recipient’s continuous employment or service through the applicable vesting date of such AIR Global Earnout RSUs.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closing, a total of 22,373,640 CAEP Class A ordinary shares were redeemed for an aggregate redemption value of approximately $234,700, resulting in a total of 5,226,360 CAEP Class A ordinary shares remaining issued and outstanding as of the Closing Date. As of the Closing Date, after giving effect to the transactions noted above, there were 160,386,602 AIR Global ordinary shares issued and outstanding.</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Accounting for the BCA transaction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AIR was determined to be the accounting acquirer, for financial reporting purposes, based on evaluation of the following facts and circumstances: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Shareholders have the largest voting interest in AIR Global;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AIR Global Board has eight members, all of whom have been nominated by AIR;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AIR’s senior management is the senior management of AIR Global;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business of AIR comprises the ongoing operations of AIR Global;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is the larger entity, in terms of substantive operations and employee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exchange of AIR Limited shares for AIR Global ordinary shares, including the AIR Earnout Shares, was accounted for as part of the capital reorganization and recapitalization of AIR Limited’s equity. The AIR Earnout Shares have been classified within equity as the number of AIR Global ordinary shares issued in exchange for AIR’s ordinary shares were fixed and known at the Closing Date and there will be no cash settlement if AIR Earnout Shares are redeemed subject to the earnout conditions. Accordingly, the exchange of such shares has been recognized as a recapitalization transaction within AIR Global’s equity, with no impact to AIR Global’s consolidated statement of comprehensive loss for the six months ended 30 June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excess of fair value of AIR Global ordinary shares issued over the fair value of CAEP’s identifiable net assets acquired represents compensation for the service of a stock exchange listing for AIR Global shares and has been expensed as incurred in accordance with IFRS 2. In addition, as the Sponsor Earnout Shares are included in the share-based consideration paid to CAEP Shareholders in exchange for the listing service, they have also been accounted for in accordance with IFRS 2 and recorded at fair value as a listing expense with an increase to AIR Global’s equity. The Sponsor Earnout Shares have been classified in equity because they have been settled by delivering a fixed number of AIR Global ordinary shares in exchange for a fixed number of CAEP’s Class A Ordinary Shares that were known at the date of the BCA transaction and there will be no cash settlement if Sponsor Earnout Shares are redeemed subject to the earnout considerations.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15 May 2026, the fair value of the consideration transferred, fair value of the net liabilities acquired, and resulting expense recognized by AIR Global are as follows: </w:t>
      </w:r>
    </w:p>
    <w:tbl>
      <w:tblPr>
        <w:tblW w:w="8170" w:type="dxa"/>
        <w:jc w:val="left"/>
        <w:tblInd w:w="0" w:type="dxa"/>
        <w:tblLayout w:type="fixed"/>
        <w:tblCellMar>
          <w:top w:w="28" w:type="dxa"/>
          <w:left w:w="28" w:type="dxa"/>
          <w:bottom w:w="28" w:type="dxa"/>
          <w:right w:w="28" w:type="dxa"/>
        </w:tblCellMar>
      </w:tblPr>
      <w:tblGrid>
        <w:gridCol w:w="6991"/>
        <w:gridCol w:w="146"/>
        <w:gridCol w:w="146"/>
        <w:gridCol w:w="676"/>
        <w:gridCol w:w="211"/>
      </w:tblGrid>
      <w:tr>
        <w:trPr/>
        <w:tc>
          <w:tcPr>
            <w:tcW w:w="6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AIR Global ordinary shares excluding Sponsor Earnout Shares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Sponsor Earnout Shares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CAEP identifiable net assets (cash related to reorganization transaction)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IFRS 2 listing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CAEP transaction costs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relating to BCA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i. The fair value of AIR Global ordinary shares issued was estimated based on a market price of $12.70 per share as of 15 May 2026. </w:t>
      </w:r>
    </w:p>
    <w:p>
      <w:pPr>
        <w:pStyle w:val="TextBody"/>
        <w:bidi w:val="0"/>
        <w:jc w:val="both"/>
        <w:rPr>
          <w:rFonts w:ascii="Times New Roman" w:hAnsi="Times New Roman"/>
          <w:color w:val="000000"/>
          <w:sz w:val="20"/>
        </w:rPr>
      </w:pPr>
      <w:r>
        <w:rPr>
          <w:rFonts w:ascii="Times New Roman" w:hAnsi="Times New Roman"/>
          <w:color w:val="000000"/>
          <w:sz w:val="20"/>
        </w:rPr>
        <w:t xml:space="preserve">ii. The fair value of Sponsor Earnout Shares was estimated as of 15 May 2026 based on a per share value of $9.04, which was calculated using a Monte Carlo approach taking into account the sponsor earnout conditions. </w:t>
      </w:r>
    </w:p>
    <w:p>
      <w:pPr>
        <w:pStyle w:val="TextBody"/>
        <w:bidi w:val="0"/>
        <w:jc w:val="both"/>
        <w:rPr>
          <w:rFonts w:ascii="Times New Roman" w:hAnsi="Times New Roman"/>
          <w:color w:val="000000"/>
          <w:sz w:val="20"/>
        </w:rPr>
      </w:pPr>
      <w:r>
        <w:rPr>
          <w:rFonts w:ascii="Times New Roman" w:hAnsi="Times New Roman"/>
          <w:color w:val="000000"/>
          <w:sz w:val="20"/>
        </w:rPr>
        <w:t>iii Out of the $41,296 transaction costs, $28,933 has been paid, and $12,363 is accrued.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IFRS 2 listing expense recorded by the Group is recorded within other expenses in the unaudited interim condensed consolidated statement of comprehensive loss for the three month period ended and six months period ended 30 June 2026. Company Top Up Awards to be issued by AIR Global are accounted for as equity-classified share-based payments under IFRS 2 as these awards will be settled by issuing AIR Global ordinary shares and there is no cash settlement option or alternative.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AIR Global Earnout RSUs to be issued by AIR Global are accounted for as equity-classified share-based payments under IFRS 2 as these awards will be settled by issuing AIR Global Ordinary Shares and there is no cash settlement option or alternative. These awards will be granted and will begin vesting in the second half of 2026 following the Board approval of the final terms and conditions of the AIR Global Equity Incentive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result of the reorganization, historical equity balances of AIR Limited were adjusted to reflect the new capital structure of Air Global PLC. Consequently, share capital of $967,203, representing the change in par value of the Company's shares, was reclassified to share premium. In addition, share premium of $39,534 attributable to AIR Limited prior to BCA transaction was transferred to retained earnings.Following the reorganization, the issuance of shares by Air Global PLC resulted in the recognition of additional share premium of $102,035, representing the excess of the issue price over the par value of the shares issued.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Forward Purchase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11 May 2026, CAEP, and, following the BCA transaction, AIR Global and CAEP entered into an agreement (the “Forward Purchase Agreement”) with Harraden Circle Investors, LP, Harraden Circle Special Opportunities, LP, Harraden Circle Strategic Investments, LP and Harraden Circle Concentrated, LP (collectively, the “Seller”). Under the Forward Purchase Agreement, the Seller purchased 5,000,000 CAEP Class A Ordinary Shares, par value $0.0001 per share, in accordance with the terms and conditions therein. On the prepayment date, AIR Global paid the Seller from CAEP’s trust account an amount equal to the number of shares subject to the transaction multiplied by the redemption price at the closing of the BCA transaction, totaling $52,444 (the “Prepayment Amount”).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 will settle physically, with the Seller permitted to sell subject shares after closing subject to a minimum sale price of $10.00 per share, a daily volume cap of 15% of trading volume, and mandatory early termination and payment provisions for shares sold, including additional payments to AIR Global if shares are sold above $15.00 per share. Any shares not sold by the valuation date (“FPA Closing Date”), which is six months after closing unless accelerated or extended under the agreement, must be returned to AIR Global while the Seller will retain the related Prepayment Amount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Forward Purchase Agreement is accounted for as an own-share / treasury share arrangement under IAS 32 – Financial Instruments: Presentation (“IAS 32”) as the Seller does not have substantive rights (in terms of restriction of selling the AIR Global Ordinary Shares under $10 per share, pledging and limited duration of AIR Global ordinary share ownership) of an unrestricted shareholder for securities acquired under this arrangement. Although legally issued to the Seller, the subject shares were accounted for as treasury shares from the Closing Date because the Seller did not obtain substantive rights equivalent to those of an unrestricted shareholder. Accordingly, the Group recognized a $52,444 adjustment to share capital and share premium to reflect the legal issuance of the subject AIR Global ordinary shares and a corresponding adjustment to recognize a treasury share reserve to reflect a potential legal transfer of the subject AIR Global ordinary shares to AIR Global at the FPA Closing Date in case the Seller is unable to sell the AIR Global ordinary shares during the six months subsequent to the FPA Closing Date. Therefore, the transaction has been recorded as a movement between equity to recognize a treasury share reserve. No financial asset or financial liability was recognized in respect of the Forward Purchase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18. Investment in Greentank Innovation Corp.</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3 June 2026, AIR Group Ventures Limited ("AGV"), a wholly owned subsidiary of the Group, subscribed for an aggregate of 2,450,980 Series 7 Preferred Shares of Greentank Innovations Corp. ("Greentank") for total consideration of $10,000 ("First subscription agreement"). AGV also received freestanding warrant providing the right to acquire additional Series 7 Preferred Shares of Greentank at a predetermined exercise price during the contractual exercise period. As at 30 June 2026, there are no outstanding consideration payable in relation to the first subscription agreement. The investment was undertaken for strategic purposes and does not provide the Group with control, joint control or significant influence over Greentank. Accordingly, the investment is accounted for as a financial asset in accordance with IFRS 9 "Financial Instruments".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initial recognition, the Group made an irrevocable election to present subsequent changes in the fair value of the Series 7 Preferred Shares in other comprehensive income (“FVOCI”), as the investment is held for long-term strategic purposes and is not held for trading. Subsequent changes in fair value are recognized in other comprehensive income and are not subsequently reclassified to profit or loss upon derecognition. Dividends are recognized in profit or loss when the Group's right to receive payment is established. No dividend income was recognized in relation to the investment during the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warrants are accounted for as derivative financial instruments measured at fair value through profit or loss ("FVTPL"), with changes in fair value recognized within unaudited interim condensed consolidated statement of comprehensive income.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Greentank forward purchase contract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18 June 2026, AGV entered into an agreement to subscribe for an additional 2,450,980 Series 7 Preferred Shares of Greentank for total consideration of $10,000 ("Second subscription agreement"). Under the terms of the agreement, AGV will also receive freestanding warrant to acquire additional Series 7 Preferred Shares of Greentank at a predetermined exercise price during the contractual exercise period. The allotment of the Series 7 Preferred Shares and issuance of the warrants contractually occurred on 24 July 2026, which was also the date on which the subscription consideration became payable and was settled. As at 30 June 2026, neither the Series 7 Preferred Shares nor the warrants had been issued and no consideration has been paid in relation to the second subscription agreement. Consequently, the agreement did not give rise to ownership of the underlying financial instruments at the reporting date. The contract was therefore recognized as a forward purchase agreement and accounted for as a derivative financial instrument in accordance with IFRS 9.</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Greentank forward purchase contract is measured at fair value through profit or loss. At 30 June 2026, the fair value of the derivative financial instrument amounted to a liability position of $143. The fair value loss recognized on the Greentank forward purchase contract during the six-month period ended 30 June 2026 amounted to $169 and is presented within changes in fair value of derivative financial instruments within the unaudited interim condensed consolidated statement of comprehensive income.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Greentank forward purchase contract is classified within Level 3 of the fair value hierarchy as defined by IFRS 13 due to the use of significant unobservable inputs in the valuation.(Note 12).</w:t>
      </w:r>
    </w:p>
    <w:p>
      <w:pPr>
        <w:pStyle w:val="TextBody"/>
        <w:bidi w:val="0"/>
        <w:jc w:val="left"/>
        <w:rPr/>
      </w:pPr>
      <w:r>
        <w:rPr/>
        <w:t> </w:t>
      </w:r>
    </w:p>
    <w:p>
      <w:pPr>
        <w:pStyle w:val="TextBody"/>
        <w:bidi w:val="0"/>
        <w:jc w:val="left"/>
        <w:rPr/>
      </w:pPr>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both"/>
        <w:rPr>
          <w:rFonts w:ascii="Times New Roman" w:hAnsi="Times New Roman"/>
          <w:b/>
          <w:color w:val="000000"/>
          <w:sz w:val="28"/>
        </w:rPr>
      </w:pPr>
      <w:r>
        <w:rPr>
          <w:rFonts w:ascii="Times New Roman" w:hAnsi="Times New Roman"/>
          <w:b/>
          <w:color w:val="000000"/>
          <w:sz w:val="28"/>
        </w:rPr>
        <w:t>Notes to the unaudited interim condensed consolidated financial statements for the six-month period ended 30 June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carrying value and the movement of the financial asset at FVOCI and derivative financial instruments as at 30 June 2026 is as follows:</w:t>
      </w:r>
    </w:p>
    <w:p>
      <w:pPr>
        <w:pStyle w:val="TextBody"/>
        <w:bidi w:val="0"/>
        <w:jc w:val="both"/>
        <w:rPr/>
      </w:pPr>
      <w:r>
        <w:rPr/>
        <w:t> </w:t>
      </w:r>
    </w:p>
    <w:tbl>
      <w:tblPr>
        <w:tblW w:w="7364" w:type="dxa"/>
        <w:jc w:val="left"/>
        <w:tblInd w:w="0" w:type="dxa"/>
        <w:tblLayout w:type="fixed"/>
        <w:tblCellMar>
          <w:top w:w="28" w:type="dxa"/>
          <w:left w:w="28" w:type="dxa"/>
          <w:bottom w:w="28" w:type="dxa"/>
          <w:right w:w="28" w:type="dxa"/>
        </w:tblCellMar>
      </w:tblPr>
      <w:tblGrid>
        <w:gridCol w:w="5506"/>
        <w:gridCol w:w="146"/>
        <w:gridCol w:w="146"/>
        <w:gridCol w:w="571"/>
        <w:gridCol w:w="166"/>
        <w:gridCol w:w="146"/>
        <w:gridCol w:w="146"/>
        <w:gridCol w:w="346"/>
        <w:gridCol w:w="1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asset at FVOCI - Series 7 Preferred Shares of Greentank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recognized in 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 financial instrument - Greentank forward purchase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recognised in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 financial instrument -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recognised in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 Subsequent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previously held a 50% equity interest in ZeroSmoke F.Z.C (“ZeroSmoke”), a joint venture established with Pioneer Delivery Systems Holdings L.L.C-FZ (“Pioneer”) to commercialize the category of nicotine pouches in worldwide markets (excluding certain restricted markets) under some of the Group’s proprietary owned brands, within the United Arab Emirates. Subsequent to 30 June 2026, the Group entered into a termination and release agreement which became effective on 7 July 2026, pursuant to which it acquired the remaining 50% interest in Zerosmoke for consideration of approximately $800, resulting in full ownership of the entity upon completion of the share transfer. </w:t>
      </w:r>
    </w:p>
    <w:p>
      <w:pPr>
        <w:pStyle w:val="TextBody"/>
        <w:bidi w:val="0"/>
        <w:jc w:val="left"/>
        <w:rPr/>
      </w:pPr>
      <w:bookmarkStart w:id="8" w:name="last"/>
      <w:bookmarkEnd w:id="8"/>
      <w:r>
        <w:rPr/>
        <w:t> </w:t>
      </w:r>
    </w:p>
    <w:p>
      <w:pPr>
        <w:pStyle w:val="TextBody"/>
        <w:bidi w:val="0"/>
        <w:spacing w:before="200" w:after="283"/>
        <w:jc w:val="right"/>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18007</Words>
  <Characters>99202</Characters>
  <CharactersWithSpaces>120521</CharactersWithSpaces>
  <Paragraphs>9148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