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22"/>
        </w:rPr>
      </w:pPr>
      <w:bookmarkStart w:id="0" w:name="425_-_march_11_press_rel.htm"/>
      <w:bookmarkStart w:id="1" w:name="ks425__march_11_press_rel"/>
      <w:bookmarkEnd w:id="0"/>
      <w:bookmarkEnd w:id="1"/>
      <w:r>
        <w:rPr>
          <w:rFonts w:ascii="Times New Roman" w:hAnsi="Times New Roman"/>
          <w:b/>
          <w:color w:val="000000"/>
          <w:sz w:val="22"/>
        </w:rPr>
        <w:t>Filed by AIR Holdings Ltd.</w:t>
      </w:r>
    </w:p>
    <w:p>
      <w:pPr>
        <w:pStyle w:val="TextBody"/>
        <w:bidi w:val="0"/>
        <w:jc w:val="right"/>
        <w:rPr>
          <w:rFonts w:ascii="Times New Roman" w:hAnsi="Times New Roman"/>
          <w:b/>
          <w:color w:val="000000"/>
          <w:sz w:val="22"/>
        </w:rPr>
      </w:pPr>
      <w:r>
        <w:rPr>
          <w:rFonts w:ascii="Times New Roman" w:hAnsi="Times New Roman"/>
          <w:b/>
          <w:color w:val="000000"/>
          <w:sz w:val="22"/>
        </w:rPr>
        <w:t>pursuant to Rule 425 under the Securities Act of 1933</w:t>
      </w:r>
    </w:p>
    <w:p>
      <w:pPr>
        <w:pStyle w:val="TextBody"/>
        <w:bidi w:val="0"/>
        <w:jc w:val="right"/>
        <w:rPr>
          <w:rFonts w:ascii="Times New Roman" w:hAnsi="Times New Roman"/>
          <w:b/>
          <w:color w:val="000000"/>
          <w:sz w:val="22"/>
        </w:rPr>
      </w:pPr>
      <w:r>
        <w:rPr>
          <w:rFonts w:ascii="Times New Roman" w:hAnsi="Times New Roman"/>
          <w:b/>
          <w:color w:val="000000"/>
          <w:sz w:val="22"/>
        </w:rPr>
        <w:t>and deemed filed pursuant to Rule 14a-12</w:t>
      </w:r>
    </w:p>
    <w:p>
      <w:pPr>
        <w:pStyle w:val="TextBody"/>
        <w:bidi w:val="0"/>
        <w:jc w:val="right"/>
        <w:rPr>
          <w:rFonts w:ascii="Times New Roman" w:hAnsi="Times New Roman"/>
          <w:b/>
          <w:color w:val="000000"/>
          <w:sz w:val="22"/>
        </w:rPr>
      </w:pPr>
      <w:r>
        <w:rPr>
          <w:rFonts w:ascii="Times New Roman" w:hAnsi="Times New Roman"/>
          <w:b/>
          <w:color w:val="000000"/>
          <w:sz w:val="22"/>
        </w:rPr>
        <w:t>under the Securities Exchange Act of 1934</w:t>
      </w:r>
    </w:p>
    <w:p>
      <w:pPr>
        <w:pStyle w:val="TextBody"/>
        <w:bidi w:val="0"/>
        <w:jc w:val="right"/>
        <w:rPr/>
      </w:pPr>
      <w:r>
        <w:rPr>
          <w:rFonts w:cs="Tahoma;sans-serif"/>
          <w:bCs/>
          <w:color w:val="000000"/>
          <w:szCs w:val="22"/>
        </w:rPr>
        <w:t>﻿</w:t>
      </w:r>
      <w:r>
        <w:rPr>
          <w:rFonts w:ascii="Times New Roman" w:hAnsi="Times New Roman"/>
          <w:b/>
          <w:color w:val="000000"/>
          <w:sz w:val="22"/>
        </w:rPr>
        <w:br/>
      </w:r>
      <w:r>
        <w:rPr>
          <w:rFonts w:ascii="Times New Roman" w:hAnsi="Times New Roman"/>
          <w:color w:val="000000"/>
          <w:sz w:val="20"/>
        </w:rPr>
        <w:t> </w:t>
      </w:r>
    </w:p>
    <w:p>
      <w:pPr>
        <w:pStyle w:val="TextBody"/>
        <w:bidi w:val="0"/>
        <w:jc w:val="right"/>
        <w:rPr>
          <w:rFonts w:ascii="Times New Roman" w:hAnsi="Times New Roman"/>
          <w:b/>
          <w:color w:val="000000"/>
          <w:sz w:val="22"/>
        </w:rPr>
      </w:pPr>
      <w:r>
        <w:rPr>
          <w:rFonts w:ascii="Times New Roman" w:hAnsi="Times New Roman"/>
          <w:b/>
          <w:color w:val="000000"/>
          <w:sz w:val="22"/>
        </w:rPr>
        <w:t>Subject Companies: AIR Limited</w:t>
      </w:r>
    </w:p>
    <w:p>
      <w:pPr>
        <w:pStyle w:val="TextBody"/>
        <w:bidi w:val="0"/>
        <w:jc w:val="right"/>
        <w:rPr>
          <w:rFonts w:ascii="Times New Roman" w:hAnsi="Times New Roman"/>
          <w:b/>
          <w:color w:val="000000"/>
          <w:sz w:val="22"/>
        </w:rPr>
      </w:pPr>
      <w:r>
        <w:rPr>
          <w:rFonts w:ascii="Times New Roman" w:hAnsi="Times New Roman"/>
          <w:b/>
          <w:color w:val="000000"/>
          <w:sz w:val="22"/>
        </w:rPr>
        <w:t>Cantor Equity Partners III, Inc., Commission File No. 001-42716</w:t>
      </w:r>
    </w:p>
    <w:p>
      <w:pPr>
        <w:pStyle w:val="TextBody"/>
        <w:bidi w:val="0"/>
        <w:jc w:val="right"/>
        <w:rPr>
          <w:rFonts w:ascii="Times New Roman" w:hAnsi="Times New Roman"/>
          <w:b/>
          <w:color w:val="000000"/>
          <w:sz w:val="22"/>
        </w:rPr>
      </w:pPr>
      <w:r>
        <w:rPr>
          <w:rFonts w:ascii="Times New Roman" w:hAnsi="Times New Roman"/>
          <w:b/>
          <w:color w:val="000000"/>
          <w:sz w:val="22"/>
        </w:rPr>
        <w:t>Date: March 12, 2026</w:t>
      </w:r>
    </w:p>
    <w:p>
      <w:pPr>
        <w:pStyle w:val="TextBody"/>
        <w:bidi w:val="0"/>
        <w:jc w:val="center"/>
        <w:rPr/>
      </w:pPr>
      <w:r>
        <w:rPr>
          <w:rFonts w:cs="Tahoma;sans-serif"/>
          <w:color w:val="000000"/>
          <w:szCs w:val="22"/>
        </w:rPr>
        <w:t>﻿</w:t>
      </w:r>
      <w:r>
        <w:rPr>
          <w:rFonts w:ascii="Times New Roman" w:hAnsi="Times New Roman"/>
          <w:color w:val="000000"/>
          <w:sz w:val="22"/>
        </w:rPr>
        <w:br/>
      </w:r>
      <w:r>
        <w:rPr>
          <w:rFonts w:ascii="Times New Roman" w:hAnsi="Times New Roman"/>
          <w:color w:val="000000"/>
          <w:sz w:val="20"/>
        </w:rPr>
        <w:t> </w:t>
      </w:r>
    </w:p>
    <w:p>
      <w:pPr>
        <w:pStyle w:val="TextBody"/>
        <w:bidi w:val="0"/>
        <w:jc w:val="both"/>
        <w:rPr>
          <w:rFonts w:ascii="Times New Roman" w:hAnsi="Times New Roman"/>
          <w:sz w:val="20"/>
        </w:rPr>
      </w:pPr>
      <w:r>
        <w:rPr>
          <w:rFonts w:ascii="Times New Roman" w:hAnsi="Times New Roman"/>
          <w:color w:val="000000"/>
          <w:sz w:val="22"/>
        </w:rPr>
        <w:t>As previously disclosed, on November 7, 2025, Cantor Equity Partners III, Inc. (“</w:t>
      </w:r>
      <w:r>
        <w:rPr>
          <w:rFonts w:ascii="Times New Roman" w:hAnsi="Times New Roman"/>
          <w:color w:val="000000"/>
          <w:sz w:val="22"/>
          <w:u w:val="single"/>
        </w:rPr>
        <w:t>CAEP</w:t>
      </w:r>
      <w:r>
        <w:rPr>
          <w:rFonts w:ascii="Times New Roman" w:hAnsi="Times New Roman"/>
          <w:color w:val="000000"/>
          <w:sz w:val="20"/>
        </w:rPr>
        <w:t>”</w:t>
      </w:r>
      <w:r>
        <w:rPr>
          <w:rFonts w:ascii="Times New Roman" w:hAnsi="Times New Roman"/>
          <w:color w:val="000000"/>
          <w:sz w:val="22"/>
        </w:rPr>
        <w:t>), a Cayman Islands exempted company, and AIR Limited, a private limited company incorporated under the laws of Jersey (“</w:t>
      </w:r>
      <w:r>
        <w:rPr>
          <w:rFonts w:ascii="Times New Roman" w:hAnsi="Times New Roman"/>
          <w:color w:val="000000"/>
          <w:sz w:val="22"/>
          <w:u w:val="single"/>
        </w:rPr>
        <w:t>AIR</w:t>
      </w:r>
      <w:r>
        <w:rPr>
          <w:rFonts w:ascii="Times New Roman" w:hAnsi="Times New Roman"/>
          <w:color w:val="000000"/>
          <w:sz w:val="20"/>
        </w:rPr>
        <w:t>”</w:t>
      </w:r>
      <w:r>
        <w:rPr>
          <w:rFonts w:ascii="Times New Roman" w:hAnsi="Times New Roman"/>
          <w:color w:val="000000"/>
          <w:sz w:val="22"/>
        </w:rPr>
        <w:t>), entered into a Business Combination Agreement (the “</w:t>
      </w:r>
      <w:r>
        <w:rPr>
          <w:rFonts w:ascii="Times New Roman" w:hAnsi="Times New Roman"/>
          <w:color w:val="000000"/>
          <w:sz w:val="22"/>
          <w:u w:val="single"/>
        </w:rPr>
        <w:t>Business Combination Agreement</w:t>
      </w:r>
      <w:r>
        <w:rPr>
          <w:rFonts w:ascii="Times New Roman" w:hAnsi="Times New Roman"/>
          <w:color w:val="000000"/>
          <w:sz w:val="20"/>
        </w:rPr>
        <w:t>”</w:t>
      </w:r>
      <w:r>
        <w:rPr>
          <w:rFonts w:ascii="Times New Roman" w:hAnsi="Times New Roman"/>
          <w:color w:val="000000"/>
          <w:sz w:val="22"/>
        </w:rPr>
        <w:t>), with AIR Holdings Limited, a private limited company incorporated under the laws of Jersey (“</w:t>
      </w:r>
      <w:r>
        <w:rPr>
          <w:rFonts w:ascii="Times New Roman" w:hAnsi="Times New Roman"/>
          <w:color w:val="000000"/>
          <w:sz w:val="22"/>
          <w:u w:val="single"/>
        </w:rPr>
        <w:t>Pubco</w:t>
      </w:r>
      <w:r>
        <w:rPr>
          <w:rFonts w:ascii="Times New Roman" w:hAnsi="Times New Roman"/>
          <w:color w:val="000000"/>
          <w:sz w:val="20"/>
        </w:rPr>
        <w:t>”</w:t>
      </w:r>
      <w:r>
        <w:rPr>
          <w:rFonts w:ascii="Times New Roman" w:hAnsi="Times New Roman"/>
          <w:color w:val="000000"/>
          <w:sz w:val="22"/>
        </w:rPr>
        <w:t>), Genesis Cayman Merger Sub Limited, a Cayman Islands exempted company (“</w:t>
      </w:r>
      <w:r>
        <w:rPr>
          <w:rFonts w:ascii="Times New Roman" w:hAnsi="Times New Roman"/>
          <w:color w:val="000000"/>
          <w:sz w:val="22"/>
          <w:u w:val="single"/>
        </w:rPr>
        <w:t>Cayman Merger Sub</w:t>
      </w:r>
      <w:r>
        <w:rPr>
          <w:rFonts w:ascii="Times New Roman" w:hAnsi="Times New Roman"/>
          <w:color w:val="000000"/>
          <w:sz w:val="20"/>
        </w:rPr>
        <w:t>”</w:t>
      </w:r>
      <w:r>
        <w:rPr>
          <w:rFonts w:ascii="Times New Roman" w:hAnsi="Times New Roman"/>
          <w:color w:val="000000"/>
          <w:sz w:val="22"/>
        </w:rPr>
        <w:t>), and Genesis Jersey Merger Sub Limited, a private limited company incorporated under the laws of Jersey (“</w:t>
      </w:r>
      <w:r>
        <w:rPr>
          <w:rFonts w:ascii="Times New Roman" w:hAnsi="Times New Roman"/>
          <w:color w:val="000000"/>
          <w:sz w:val="22"/>
          <w:u w:val="single"/>
        </w:rPr>
        <w:t>Jersey Merger Sub</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color w:val="000000"/>
          <w:sz w:val="22"/>
        </w:rPr>
      </w:pPr>
      <w:r>
        <w:rPr>
          <w:rFonts w:ascii="Times New Roman" w:hAnsi="Times New Roman"/>
          <w:color w:val="000000"/>
          <w:sz w:val="22"/>
        </w:rPr>
        <w:t>On March 11, 2026, AIR Limited issued the following press release announcing the appointment of Gaurav Jain as Vice President, Investor Relations and Corporate Strategy.</w:t>
      </w:r>
    </w:p>
    <w:p>
      <w:pPr>
        <w:pStyle w:val="TextBody"/>
        <w:bidi w:val="0"/>
        <w:jc w:val="left"/>
        <w:rPr/>
      </w:pPr>
      <w:r>
        <w:rPr>
          <w:rFonts w:cs="Tahoma;sans-serif"/>
          <w:color w:val="000000"/>
          <w:szCs w:val="22"/>
        </w:rPr>
        <w:t>﻿</w:t>
      </w: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b/>
          <w:color w:val="000000"/>
          <w:sz w:val="22"/>
        </w:rPr>
      </w:pPr>
      <w:r>
        <w:rPr>
          <w:rFonts w:ascii="Times New Roman" w:hAnsi="Times New Roman"/>
          <w:b/>
          <w:color w:val="000000"/>
          <w:sz w:val="22"/>
        </w:rPr>
        <w:t>AIR Appoints Gaurav Jain as Vice President, Investor Relations, and Corporate Strategy</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Appointment strengthens capital markets engagement and strategic positioning ahead of planned US listing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DUBAI, United Arab Emirates – March 11, 2026 </w:t>
      </w:r>
      <w:r>
        <w:rPr>
          <w:rFonts w:ascii="Times New Roman" w:hAnsi="Times New Roman"/>
          <w:color w:val="000000"/>
          <w:sz w:val="20"/>
        </w:rPr>
        <w:t xml:space="preserve">– </w:t>
      </w:r>
      <w:r>
        <w:rPr>
          <w:rFonts w:ascii="Times New Roman" w:hAnsi="Times New Roman"/>
          <w:color w:val="000000"/>
          <w:sz w:val="22"/>
        </w:rPr>
        <w:t>Air Limited (“AIR” or the “Company”), the global leader in hookah and pioneer in advanced inhalation technologies, today announced the appointment of Gaurav Jain as Vice President, Investor Relations and Corporate Strategy, effective April 1, 2026. Mr. Jain will report directly to Stuart Brazier, Chief Executive Officer of AIR.</w:t>
      </w:r>
    </w:p>
    <w:p>
      <w:pPr>
        <w:pStyle w:val="TextBody"/>
        <w:bidi w:val="0"/>
        <w:jc w:val="both"/>
        <w:rPr>
          <w:rFonts w:ascii="Times New Roman" w:hAnsi="Times New Roman"/>
          <w:sz w:val="20"/>
        </w:rPr>
      </w:pPr>
      <w:r>
        <w:rPr>
          <w:rFonts w:ascii="Times New Roman" w:hAnsi="Times New Roman"/>
          <w:color w:val="000000"/>
          <w:sz w:val="22"/>
        </w:rPr>
        <w:t>Mr. Jain joins AIR after a distinguished tenure at Barclays, having built a reputation for exceptional analytical rigor and deep industry insight in the Global Tobacco sector. Since 2020, he has been the #1 ranked tobacco analyst in the Institutional Investor Europe poll. At Barclays, Mr. Jain also led coverage of other sectors besides tobacco, such as Chemicals and Paper &amp; Packaging, and has previously led on EU Small &amp; Mid Cap and Cannabis. He has 23 years of global investing experience, split equally between the buy side and sell side, across London, Mumbai and New York and is a prolific investor in both public and private markets.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In his new role, Mr. Jain will be responsible for leading AIR’s global investor relations strategy, strengthening engagement with shareholders, analysts, and the broader investment community. He will also drive the company’s long-term corporate strategy, including competitive and market insights, portfolio evaluation, and strategic planning, while shaping AIR’s external narrative to reinforce its performance, priorities, and long-term value creation agenda. In addition, he will partner closely with the Executive Committee and Board to deliver high-impact strategic analysis and market intelligence.</w:t>
      </w:r>
    </w:p>
    <w:p>
      <w:pPr>
        <w:pStyle w:val="TextBody"/>
        <w:bidi w:val="0"/>
        <w:jc w:val="both"/>
        <w:rPr>
          <w:rFonts w:ascii="Times New Roman" w:hAnsi="Times New Roman"/>
          <w:color w:val="000000"/>
          <w:sz w:val="22"/>
        </w:rPr>
      </w:pPr>
      <w:r>
        <w:rPr>
          <w:rFonts w:ascii="Times New Roman" w:hAnsi="Times New Roman"/>
          <w:color w:val="000000"/>
          <w:sz w:val="22"/>
        </w:rPr>
        <w:t>Commenting on the appointment, Stuart Brazier, Chief Executive Officer of AIR, said:</w:t>
      </w:r>
    </w:p>
    <w:p>
      <w:pPr>
        <w:pStyle w:val="TextBody"/>
        <w:bidi w:val="0"/>
        <w:jc w:val="both"/>
        <w:rPr>
          <w:color w:val="000000"/>
        </w:rPr>
      </w:pPr>
      <w:r>
        <w:rPr>
          <w:color w:val="000000"/>
        </w:rPr>
        <w:t>“</w:t>
      </w:r>
      <w:r>
        <w:rPr>
          <w:rFonts w:ascii="Times New Roman" w:hAnsi="Times New Roman"/>
          <w:color w:val="000000"/>
          <w:sz w:val="22"/>
        </w:rPr>
        <w:t>Gaurav brings a rare combination of capital markets expertise, strategic insight, and deep category knowledge. As we move toward our planned US listing, his leadership will be instrumental in elevating our engagement with the investment community and sharpening our strategic positioning. We are delighted to welcome him to AIR.”</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Mr. Jain’s appointment underscores AIR’s commitment to strengthening its leadership team as it advances its growth strategy and prepares for the next phase of its development as a public company.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Background Information on AIR’s Business Combination</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sz w:val="20"/>
        </w:rPr>
      </w:pPr>
      <w:r>
        <w:rPr>
          <w:rFonts w:ascii="Times New Roman" w:hAnsi="Times New Roman"/>
          <w:color w:val="000000"/>
          <w:sz w:val="22"/>
        </w:rPr>
        <w:t xml:space="preserve">On Nov. 7, 2025, AIR and Cantor Equity Partners III, Inc. (Nasdaq: CAEP) (“CAEP”), a special purpose acquisition company sponsored by an affiliate of Cantor Fitzgerald, announced that they entered into a definitive business combination agreement for a proposed business combination (the “Proposed Business Combination”) that, upon closing, will result in the combined company </w:t>
      </w:r>
      <w:r>
        <w:rPr>
          <w:rFonts w:ascii="Times New Roman" w:hAnsi="Times New Roman"/>
          <w:b/>
          <w:color w:val="000000"/>
          <w:sz w:val="22"/>
        </w:rPr>
        <w:t xml:space="preserve">AIR Global PLC </w:t>
      </w:r>
      <w:r>
        <w:rPr>
          <w:rFonts w:ascii="Times New Roman" w:hAnsi="Times New Roman"/>
          <w:color w:val="000000"/>
          <w:sz w:val="22"/>
        </w:rPr>
        <w:t>(“AIR Global”) becoming publicly listed on the Nasdaq in the United States under the ticker symbol “AIIR.”</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sz w:val="20"/>
        </w:rPr>
      </w:pPr>
      <w:r>
        <w:rPr>
          <w:rFonts w:ascii="Times New Roman" w:hAnsi="Times New Roman"/>
          <w:color w:val="000000"/>
          <w:sz w:val="22"/>
        </w:rPr>
        <w:t>The transaction is expected to be completed in the first half of 2026, subject to regulatory approvals and other customary conditions.</w:t>
      </w:r>
      <w:r>
        <w:rPr>
          <w:rFonts w:ascii="Times New Roman" w:hAnsi="Times New Roman"/>
          <w:color w:val="000000"/>
          <w:sz w:val="20"/>
        </w:rPr>
        <w:t xml:space="preserve"> </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sz w:val="20"/>
        </w:rPr>
      </w:pPr>
      <w:r>
        <w:rPr>
          <w:rFonts w:ascii="Times New Roman" w:hAnsi="Times New Roman"/>
          <w:color w:val="000000"/>
          <w:sz w:val="22"/>
        </w:rPr>
        <w:t xml:space="preserve">Additional information about the Proposed Business Combination, including a copy of the Business Combination Agreement, are available in a Current Report on Form 8-K filed by CAEP with the SEC and available at </w:t>
      </w:r>
      <w:r>
        <w:rPr>
          <w:rFonts w:ascii="Times New Roman" w:hAnsi="Times New Roman"/>
          <w:color w:val="000000"/>
          <w:sz w:val="22"/>
          <w:u w:val="single"/>
        </w:rPr>
        <w:t>www.sec.gov</w:t>
      </w:r>
      <w:r>
        <w:rPr>
          <w:rFonts w:ascii="Times New Roman" w:hAnsi="Times New Roman"/>
          <w:color w:val="000000"/>
          <w:sz w:val="22"/>
        </w:rPr>
        <w:t>.</w:t>
      </w:r>
    </w:p>
    <w:p>
      <w:pPr>
        <w:pStyle w:val="TextBody"/>
        <w:bidi w:val="0"/>
        <w:jc w:val="both"/>
        <w:rPr>
          <w:rFonts w:cs="Tahoma;sans-serif"/>
          <w:color w:val="000000"/>
          <w:szCs w:val="22"/>
        </w:rPr>
      </w:pPr>
      <w:r>
        <w:rPr>
          <w:rFonts w:cs="Tahoma;sans-serif"/>
          <w:color w:val="000000"/>
          <w:szCs w:val="22"/>
        </w:rPr>
        <w:t>﻿</w:t>
      </w:r>
    </w:p>
    <w:p>
      <w:pPr>
        <w:pStyle w:val="TextBody"/>
        <w:bidi w:val="0"/>
        <w:jc w:val="left"/>
        <w:rPr>
          <w:rFonts w:ascii="Times New Roman" w:hAnsi="Times New Roman"/>
          <w:b/>
          <w:color w:val="000000"/>
          <w:sz w:val="22"/>
        </w:rPr>
      </w:pPr>
      <w:r>
        <w:rPr>
          <w:rFonts w:ascii="Times New Roman" w:hAnsi="Times New Roman"/>
          <w:b/>
          <w:color w:val="000000"/>
          <w:sz w:val="22"/>
        </w:rPr>
        <w:t>About AIR</w:t>
      </w:r>
    </w:p>
    <w:p>
      <w:pPr>
        <w:pStyle w:val="TextBody"/>
        <w:bidi w:val="0"/>
        <w:jc w:val="both"/>
        <w:rPr>
          <w:rFonts w:ascii="Times New Roman" w:hAnsi="Times New Roman"/>
          <w:color w:val="000000"/>
          <w:sz w:val="22"/>
        </w:rPr>
      </w:pPr>
      <w:r>
        <w:rPr>
          <w:rFonts w:ascii="Times New Roman" w:hAnsi="Times New Roman"/>
          <w:color w:val="000000"/>
          <w:sz w:val="22"/>
        </w:rPr>
        <w:t>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and shisha by market share; and OOKA,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sz w:val="20"/>
        </w:rPr>
      </w:pPr>
      <w:r>
        <w:rPr>
          <w:rFonts w:ascii="Times New Roman" w:hAnsi="Times New Roman"/>
          <w:color w:val="000000"/>
          <w:sz w:val="22"/>
        </w:rPr>
        <w:t xml:space="preserve">For more information, please visit </w:t>
      </w:r>
      <w:r>
        <w:rPr>
          <w:rFonts w:ascii="Times New Roman" w:hAnsi="Times New Roman"/>
          <w:color w:val="000000"/>
          <w:sz w:val="22"/>
          <w:u w:val="single"/>
        </w:rPr>
        <w:t>https://air.global/</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r>
        <w:rPr>
          <w:rFonts w:ascii="Times New Roman" w:hAnsi="Times New Roman"/>
          <w:color w:val="000000"/>
          <w:sz w:val="20"/>
        </w:rPr>
        <w:t xml:space="preserve"> </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sz w:val="20"/>
        </w:rPr>
      </w:pPr>
      <w:r>
        <w:rPr>
          <w:rFonts w:ascii="Times New Roman" w:hAnsi="Times New Roman"/>
          <w:color w:val="000000"/>
          <w:sz w:val="22"/>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2"/>
        </w:rPr>
        <w:t xml:space="preserve">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decision by the SEC to deem effective the registration </w:t>
      </w:r>
      <w:r>
        <w:rPr>
          <w:rFonts w:ascii="sans-serif" w:hAnsi="sans-serif"/>
          <w:color w:val="000000"/>
          <w:sz w:val="22"/>
        </w:rPr>
        <w:t>statement on Form F-4 intended to be filed with the SEC by AIR and AIR Global (the “Registration Statement”)</w:t>
      </w:r>
      <w:r>
        <w:rPr>
          <w:rFonts w:ascii="Times New Roman" w:hAnsi="Times New Roman"/>
          <w:color w:val="000000"/>
          <w:sz w:val="22"/>
        </w:rPr>
        <w:t>;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expected to be set forth in the Registration Statement.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 assurances can be made that the parties will successfully close the Proposed Business Combination or close the Proposed Business Combination on the timeframe currently contemplated. The Proposed Business Combination is subject to the filing with the SEC, and effectiveness, of the Registration Statement, as well as other regulatory approvals and customary conditions to closing.</w:t>
      </w:r>
    </w:p>
    <w:p>
      <w:pPr>
        <w:pStyle w:val="TextBody"/>
        <w:bidi w:val="0"/>
        <w:jc w:val="both"/>
        <w:rPr>
          <w:rFonts w:cs="Tahoma;sans-serif"/>
          <w:color w:val="000000"/>
          <w:szCs w:val="22"/>
        </w:rPr>
      </w:pPr>
      <w:r>
        <w:rPr>
          <w:rFonts w:cs="Tahoma;sans-serif"/>
          <w:color w:val="000000"/>
          <w:szCs w:val="22"/>
        </w:rPr>
        <w:t>﻿</w:t>
      </w:r>
    </w:p>
    <w:p>
      <w:pPr>
        <w:pStyle w:val="TextBody"/>
        <w:bidi w:val="0"/>
        <w:jc w:val="both"/>
        <w:rPr>
          <w:rFonts w:ascii="Times New Roman" w:hAnsi="Times New Roman"/>
          <w:color w:val="000000"/>
          <w:sz w:val="22"/>
        </w:rPr>
      </w:pPr>
      <w:r>
        <w:rPr>
          <w:rFonts w:ascii="Times New Roman" w:hAnsi="Times New Roman"/>
          <w:color w:val="000000"/>
          <w:sz w:val="22"/>
        </w:rPr>
        <w:t>The foregoing list of risk factors is not exhaustive. You should carefully consider the foregoing factors and the other risks and uncertainties described in the “Risk Factors” section of the final prospectus of CAEP dated as of June 25, 2025 and filed by CAEP with the SEC on June 26, 2025, CAEP’s Quarterly Reports on Form 10-Q, CAEP’s Annual Report on Form 10-K and the Registration Statement that will be filed by AIR Global and AIR and the proxy statement/prospectus contained therein,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pStyle w:val="TextBody"/>
        <w:bidi w:val="0"/>
        <w:jc w:val="left"/>
        <w:rPr>
          <w:rFonts w:cs="Tahoma;sans-serif"/>
          <w:bCs/>
          <w:color w:val="000000"/>
          <w:szCs w:val="22"/>
        </w:rPr>
      </w:pPr>
      <w:r>
        <w:rPr>
          <w:rFonts w:cs="Tahoma;sans-serif"/>
          <w:bCs/>
          <w:color w:val="000000"/>
          <w:szCs w:val="22"/>
        </w:rPr>
        <w:t>﻿</w:t>
      </w:r>
    </w:p>
    <w:p>
      <w:pPr>
        <w:pStyle w:val="TextBody"/>
        <w:bidi w:val="0"/>
        <w:jc w:val="left"/>
        <w:rPr>
          <w:rFonts w:ascii="Times New Roman" w:hAnsi="Times New Roman"/>
          <w:b/>
          <w:color w:val="000000"/>
          <w:sz w:val="22"/>
        </w:rPr>
      </w:pPr>
      <w:r>
        <w:rPr>
          <w:rFonts w:ascii="Times New Roman" w:hAnsi="Times New Roman"/>
          <w:b/>
          <w:color w:val="000000"/>
          <w:sz w:val="22"/>
        </w:rPr>
        <w:t>Important Information for Investors and Shareholders</w:t>
      </w:r>
    </w:p>
    <w:p>
      <w:pPr>
        <w:pStyle w:val="TextBody"/>
        <w:bidi w:val="0"/>
        <w:jc w:val="left"/>
        <w:rPr>
          <w:rFonts w:cs="Tahoma;sans-serif"/>
          <w:bCs/>
          <w:color w:val="000000"/>
          <w:szCs w:val="22"/>
        </w:rPr>
      </w:pPr>
      <w:r>
        <w:rPr>
          <w:rFonts w:cs="Tahoma;sans-serif"/>
          <w:bCs/>
          <w:color w:val="000000"/>
          <w:szCs w:val="22"/>
        </w:rPr>
        <w:t>﻿</w:t>
      </w:r>
    </w:p>
    <w:p>
      <w:pPr>
        <w:pStyle w:val="TextBody"/>
        <w:bidi w:val="0"/>
        <w:jc w:val="both"/>
        <w:rPr>
          <w:rFonts w:ascii="Times New Roman" w:hAnsi="Times New Roman"/>
          <w:sz w:val="20"/>
        </w:rPr>
      </w:pPr>
      <w:r>
        <w:rPr>
          <w:rFonts w:ascii="Times New Roman" w:hAnsi="Times New Roman"/>
          <w:color w:val="000000"/>
          <w:sz w:val="22"/>
        </w:rPr>
        <w:t>AIR Global and AIR intend to file the Registration Statement with the SEC, which will include a preliminary proxy statement of CAEP and a prospectus of AIR Global in connection with the Proposed Business Combination. The definitive proxy statement and other relevant documents will be mailed to shareholders of CAEP as of a record date to be established for voting on the Proposed Business Combination. SHAREHOLDERS OF CAEP AND OTHER INTERESTED PARTIES ARE URGED TO READ, WHEN AVAILABLE, THE PRELIMINARY PROXY STATEMENT, AND AMENDMENTS THERETO, AND THE DEFINITIVE PROXY STATEMENT IN CONNECTION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WITH CAEP’S SOLICITATION OF PROXIES FOR THE EXTRAORDINARY GENERAL MEETING OF ITS SHAREHOLDERS TO BE HELD TO APPROVE THE PROPOSED BUSINESS COMBINATION BECAUSE THESE DOCUMENTS WILL CONTAIN IMPORTANT INFORMATION ABOUT CAEP, AIR, AIR GLOBAL AND THE PROPOSED BUSINESS COMBINATION. Shareholders will also be able to obtain copies of the Registration Statement and the proxy statement/prospectus, without charge, once available, on the SEC’s website at www.sec.gov or by directing a request to Cantor Equity Partners III, Inc., 110 East 59th Street, New York, NY 10022, email: CantorEquityPartners@cantor.com and to AIR Global, Festival Office Tower, Dubai Festival City, 7th Floor, Dubai, United Arab Emirates, email: investor@air.global.</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Times New Roman" w:hAnsi="Times New Roman"/>
          <w:b/>
          <w:color w:val="000000"/>
          <w:sz w:val="22"/>
        </w:rPr>
      </w:pPr>
      <w:r>
        <w:rPr>
          <w:rFonts w:ascii="Times New Roman" w:hAnsi="Times New Roman"/>
          <w:b/>
          <w:color w:val="000000"/>
          <w:sz w:val="22"/>
        </w:rPr>
        <w:t>Participants in the Solicitation</w:t>
      </w:r>
    </w:p>
    <w:p>
      <w:pPr>
        <w:pStyle w:val="TextBody"/>
        <w:bidi w:val="0"/>
        <w:jc w:val="left"/>
        <w:rPr>
          <w:rFonts w:cs="Tahoma;sans-serif"/>
          <w:bCs/>
          <w:color w:val="000000"/>
          <w:szCs w:val="22"/>
        </w:rPr>
      </w:pPr>
      <w:r>
        <w:rPr>
          <w:rFonts w:cs="Tahoma;sans-serif"/>
          <w:bCs/>
          <w:color w:val="000000"/>
          <w:szCs w:val="22"/>
        </w:rPr>
        <w:t>﻿</w:t>
      </w:r>
    </w:p>
    <w:p>
      <w:pPr>
        <w:pStyle w:val="TextBody"/>
        <w:bidi w:val="0"/>
        <w:jc w:val="both"/>
        <w:rPr>
          <w:rFonts w:ascii="Times New Roman" w:hAnsi="Times New Roman"/>
          <w:color w:val="000000"/>
          <w:sz w:val="22"/>
        </w:rPr>
      </w:pPr>
      <w:r>
        <w:rPr>
          <w:rFonts w:ascii="Times New Roman" w:hAnsi="Times New Roman"/>
          <w:color w:val="000000"/>
          <w:sz w:val="22"/>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or will be, contained in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will be set forth in the proxy statement/prospectus, which is expected to be filed by AIR Global, AIR and CAEP, as applicable, with the SEC. Investors and security holders may obtain free copies of these documents as described above.</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Times New Roman" w:hAnsi="Times New Roman"/>
          <w:b/>
          <w:color w:val="000000"/>
          <w:sz w:val="22"/>
        </w:rPr>
      </w:pPr>
      <w:r>
        <w:rPr>
          <w:rFonts w:ascii="Times New Roman" w:hAnsi="Times New Roman"/>
          <w:b/>
          <w:color w:val="000000"/>
          <w:sz w:val="22"/>
        </w:rPr>
        <w:t>No Offer or Solicitation</w:t>
      </w:r>
    </w:p>
    <w:p>
      <w:pPr>
        <w:pStyle w:val="TextBody"/>
        <w:bidi w:val="0"/>
        <w:jc w:val="left"/>
        <w:rPr>
          <w:rFonts w:cs="Tahoma;sans-serif"/>
          <w:bCs/>
          <w:color w:val="000000"/>
          <w:szCs w:val="22"/>
        </w:rPr>
      </w:pPr>
      <w:r>
        <w:rPr>
          <w:rFonts w:cs="Tahoma;sans-serif"/>
          <w:bCs/>
          <w:color w:val="000000"/>
          <w:szCs w:val="22"/>
        </w:rPr>
        <w:t>﻿</w:t>
      </w:r>
    </w:p>
    <w:p>
      <w:pPr>
        <w:pStyle w:val="TextBody"/>
        <w:bidi w:val="0"/>
        <w:jc w:val="both"/>
        <w:rPr>
          <w:rFonts w:ascii="Times New Roman" w:hAnsi="Times New Roman"/>
          <w:sz w:val="20"/>
        </w:rPr>
      </w:pPr>
      <w:r>
        <w:rPr>
          <w:rFonts w:ascii="Times New Roman" w:hAnsi="Times New Roman"/>
          <w:color w:val="000000"/>
          <w:sz w:val="22"/>
        </w:rPr>
        <w:t xml:space="preserve">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r>
        <w:rPr>
          <w:rFonts w:ascii="sans-serif" w:hAnsi="sans-serif"/>
          <w:color w:val="000000"/>
          <w:sz w:val="22"/>
        </w:rPr>
        <w:t>of 1933, as amended (the “Securities Act”)</w:t>
      </w:r>
      <w:r>
        <w:rPr>
          <w:rFonts w:ascii="Times New Roman" w:hAnsi="Times New Roman"/>
          <w:color w:val="000000"/>
          <w:sz w:val="22"/>
        </w:rPr>
        <w:t>. Investors should consult with their counsel as to the applicable requirements for a purchaser to avail itself of any exemption under the Securities Act.</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Times New Roman" w:hAnsi="Times New Roman"/>
          <w:b/>
          <w:color w:val="000000"/>
          <w:sz w:val="22"/>
        </w:rPr>
      </w:pPr>
      <w:r>
        <w:rPr>
          <w:rFonts w:ascii="Times New Roman" w:hAnsi="Times New Roman"/>
          <w:b/>
          <w:color w:val="000000"/>
          <w:sz w:val="22"/>
        </w:rPr>
        <w:t>Contact:</w:t>
      </w:r>
    </w:p>
    <w:p>
      <w:pPr>
        <w:pStyle w:val="TextBody"/>
        <w:bidi w:val="0"/>
        <w:jc w:val="left"/>
        <w:rPr>
          <w:rFonts w:cs="Tahoma;sans-serif"/>
          <w:color w:val="000000"/>
          <w:szCs w:val="22"/>
        </w:rPr>
      </w:pPr>
      <w:r>
        <w:rPr>
          <w:rFonts w:cs="Tahoma;sans-serif"/>
          <w:color w:val="000000"/>
          <w:szCs w:val="22"/>
        </w:rPr>
        <w:t>﻿</w:t>
      </w:r>
    </w:p>
    <w:p>
      <w:pPr>
        <w:pStyle w:val="TextBody"/>
        <w:bidi w:val="0"/>
        <w:jc w:val="left"/>
        <w:rPr>
          <w:rFonts w:ascii="Times New Roman" w:hAnsi="Times New Roman"/>
          <w:color w:val="000000"/>
          <w:sz w:val="22"/>
        </w:rPr>
      </w:pPr>
      <w:r>
        <w:rPr>
          <w:rFonts w:ascii="Times New Roman" w:hAnsi="Times New Roman"/>
          <w:color w:val="000000"/>
          <w:sz w:val="22"/>
        </w:rPr>
        <w:t>Investor and Media Relations</w:t>
      </w:r>
    </w:p>
    <w:p>
      <w:pPr>
        <w:pStyle w:val="TextBody"/>
        <w:bidi w:val="0"/>
        <w:jc w:val="left"/>
        <w:rPr/>
      </w:pPr>
      <w:r>
        <w:rPr>
          <w:rFonts w:ascii="Times New Roman" w:hAnsi="Times New Roman"/>
          <w:color w:val="000000"/>
          <w:sz w:val="22"/>
        </w:rPr>
        <w:t xml:space="preserve">ICR </w:t>
      </w:r>
      <w:r>
        <w:rPr>
          <w:rFonts w:ascii="Times New Roman" w:hAnsi="Times New Roman"/>
          <w:color w:val="000000"/>
          <w:sz w:val="22"/>
          <w:u w:val="single"/>
        </w:rPr>
        <w:t>AIRglobal@icrinc.com</w:t>
      </w:r>
      <w:r>
        <w:rPr>
          <w:rFonts w:cs="Tahoma;sans-serif"/>
          <w:color w:val="000000"/>
          <w:szCs w:val="22"/>
        </w:rPr>
        <w:t>﻿</w:t>
      </w:r>
      <w:r>
        <w:rPr>
          <w:rFonts w:ascii="Times New Roman" w:hAnsi="Times New Roman"/>
          <w:color w:val="000000"/>
          <w:sz w:val="22"/>
        </w:rPr>
        <w:br/>
      </w:r>
      <w:r>
        <w:rPr>
          <w:rFonts w:ascii="Times New Roman" w:hAnsi="Times New Roman"/>
          <w:color w:val="000000"/>
          <w:sz w:val="20"/>
        </w:rPr>
        <w:t> </w:t>
      </w:r>
    </w:p>
    <w:p>
      <w:pPr>
        <w:pStyle w:val="TextBody"/>
        <w:bidi w:val="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rFonts w:cs="Tahoma;sans-serif"/>
          <w:color w:val="000000"/>
          <w:szCs w:val="22"/>
        </w:rPr>
        <w:t>﻿</w:t>
      </w:r>
      <w:r>
        <w:rPr>
          <w:rFonts w:ascii="Times New Roman" w:hAnsi="Times New Roman"/>
          <w:color w:val="000000"/>
          <w:sz w:val="22"/>
        </w:rPr>
        <w:br/>
      </w:r>
      <w:r>
        <w:rPr>
          <w:rFonts w:ascii="Times New Roman" w:hAnsi="Times New Roman"/>
          <w:color w:val="000000"/>
          <w:sz w:val="20"/>
        </w:rPr>
        <w:t> </w:t>
      </w:r>
    </w:p>
    <w:p>
      <w:pPr>
        <w:pStyle w:val="TextBody"/>
        <w:bidi w:val="0"/>
        <w:spacing w:before="0" w:after="220"/>
        <w:jc w:val="both"/>
        <w:rPr/>
      </w:pPr>
      <w:r>
        <w:rPr/>
        <w:t> </w:t>
      </w:r>
    </w:p>
    <w:p>
      <w:pPr>
        <w:pStyle w:val="TextBody"/>
        <w:bidi w:val="0"/>
        <w:spacing w:before="0" w:after="22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2215</Words>
  <Characters>12592</Characters>
  <CharactersWithSpaces>14771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