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right"/>
        <w:ind w:left="4200" w:right="299"/>
        <w:spacing w:after="0" w:line="250" w:lineRule="auto"/>
        <w:rPr>
          <w:sz w:val="20"/>
          <w:szCs w:val="20"/>
          <w:color w:val="auto"/>
        </w:rPr>
      </w:pPr>
      <w:r>
        <w:rPr>
          <w:rFonts w:ascii="Times New Roman" w:cs="Times New Roman" w:eastAsia="Times New Roman" w:hAnsi="Times New Roman"/>
          <w:sz w:val="20"/>
          <w:szCs w:val="20"/>
          <w:b w:val="1"/>
          <w:bCs w:val="1"/>
          <w:color w:val="auto"/>
        </w:rPr>
        <w:t>Filed by AIR Holdings Ltd. pursuant to Rule 425 under the Securities Act of 1933 and deemed filed pursuant to Rule 14a-12 under the Securities Exchange Act of 1934</w:t>
      </w:r>
    </w:p>
    <w:p>
      <w:pPr>
        <w:spacing w:after="0" w:line="189" w:lineRule="exact"/>
        <w:rPr>
          <w:sz w:val="24"/>
          <w:szCs w:val="24"/>
          <w:color w:val="auto"/>
        </w:rPr>
      </w:pPr>
    </w:p>
    <w:p>
      <w:pPr>
        <w:jc w:val="right"/>
        <w:ind w:left="3240" w:right="299"/>
        <w:spacing w:after="0" w:line="261" w:lineRule="auto"/>
        <w:rPr>
          <w:sz w:val="20"/>
          <w:szCs w:val="20"/>
          <w:color w:val="auto"/>
        </w:rPr>
      </w:pPr>
      <w:r>
        <w:rPr>
          <w:rFonts w:ascii="Times New Roman" w:cs="Times New Roman" w:eastAsia="Times New Roman" w:hAnsi="Times New Roman"/>
          <w:sz w:val="20"/>
          <w:szCs w:val="20"/>
          <w:b w:val="1"/>
          <w:bCs w:val="1"/>
          <w:color w:val="auto"/>
        </w:rPr>
        <w:t>Subject Companies: AIR Limited Cantor Equity Partners III, Inc., Commission File No. 001-42716 Date: December 11, 2025</w:t>
      </w:r>
    </w:p>
    <w:p>
      <w:pPr>
        <w:spacing w:after="0" w:line="200" w:lineRule="exact"/>
        <w:rPr>
          <w:sz w:val="24"/>
          <w:szCs w:val="24"/>
          <w:color w:val="auto"/>
        </w:rPr>
      </w:pPr>
    </w:p>
    <w:p>
      <w:pPr>
        <w:spacing w:after="0" w:line="222" w:lineRule="exact"/>
        <w:rPr>
          <w:sz w:val="24"/>
          <w:szCs w:val="24"/>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As previously disclosed, on November 7, 2025, Cantor Equity Partners III, Inc. (“</w:t>
      </w:r>
      <w:r>
        <w:rPr>
          <w:rFonts w:ascii="Times New Roman" w:cs="Times New Roman" w:eastAsia="Times New Roman" w:hAnsi="Times New Roman"/>
          <w:sz w:val="20"/>
          <w:szCs w:val="20"/>
          <w:u w:val="single" w:color="auto"/>
          <w:color w:val="auto"/>
        </w:rPr>
        <w:t>CAEP</w:t>
      </w:r>
      <w:r>
        <w:rPr>
          <w:rFonts w:ascii="Times New Roman" w:cs="Times New Roman" w:eastAsia="Times New Roman" w:hAnsi="Times New Roman"/>
          <w:sz w:val="20"/>
          <w:szCs w:val="20"/>
          <w:color w:val="auto"/>
        </w:rPr>
        <w:t>”), a Cayman Islands exempted company, and AIR Limited, a private limited company incorporated under the laws of Jersey (“</w:t>
      </w:r>
      <w:r>
        <w:rPr>
          <w:rFonts w:ascii="Times New Roman" w:cs="Times New Roman" w:eastAsia="Times New Roman" w:hAnsi="Times New Roman"/>
          <w:sz w:val="20"/>
          <w:szCs w:val="20"/>
          <w:u w:val="single" w:color="auto"/>
          <w:color w:val="auto"/>
        </w:rPr>
        <w:t>AIR</w:t>
      </w:r>
      <w:r>
        <w:rPr>
          <w:rFonts w:ascii="Times New Roman" w:cs="Times New Roman" w:eastAsia="Times New Roman" w:hAnsi="Times New Roman"/>
          <w:sz w:val="20"/>
          <w:szCs w:val="20"/>
          <w:color w:val="auto"/>
        </w:rPr>
        <w:t>”), entered into a Business Combination Agreement (the “</w:t>
      </w:r>
      <w:r>
        <w:rPr>
          <w:rFonts w:ascii="Times New Roman" w:cs="Times New Roman" w:eastAsia="Times New Roman" w:hAnsi="Times New Roman"/>
          <w:sz w:val="20"/>
          <w:szCs w:val="20"/>
          <w:u w:val="single" w:color="auto"/>
          <w:color w:val="auto"/>
        </w:rPr>
        <w:t>Business Combination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with AIR Holdings Limited, a private limited company incorporated under the laws of Jersey (“</w:t>
      </w:r>
      <w:r>
        <w:rPr>
          <w:rFonts w:ascii="Times New Roman" w:cs="Times New Roman" w:eastAsia="Times New Roman" w:hAnsi="Times New Roman"/>
          <w:sz w:val="20"/>
          <w:szCs w:val="20"/>
          <w:u w:val="single" w:color="auto"/>
          <w:color w:val="auto"/>
        </w:rPr>
        <w:t>Pubco</w:t>
      </w:r>
      <w:r>
        <w:rPr>
          <w:rFonts w:ascii="Times New Roman" w:cs="Times New Roman" w:eastAsia="Times New Roman" w:hAnsi="Times New Roman"/>
          <w:sz w:val="20"/>
          <w:szCs w:val="20"/>
          <w:color w:val="auto"/>
        </w:rPr>
        <w:t>”), Genesis Cayman Merger Sub Limited, a Cayman Islands exempted company (“</w:t>
      </w:r>
      <w:r>
        <w:rPr>
          <w:rFonts w:ascii="Times New Roman" w:cs="Times New Roman" w:eastAsia="Times New Roman" w:hAnsi="Times New Roman"/>
          <w:sz w:val="20"/>
          <w:szCs w:val="20"/>
          <w:u w:val="single" w:color="auto"/>
          <w:color w:val="auto"/>
        </w:rPr>
        <w:t>Cayman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and Genesis Jersey Merger Sub Limited, a private limited company incorporated under the laws of Jersey (“</w:t>
      </w:r>
      <w:r>
        <w:rPr>
          <w:rFonts w:ascii="Times New Roman" w:cs="Times New Roman" w:eastAsia="Times New Roman" w:hAnsi="Times New Roman"/>
          <w:sz w:val="20"/>
          <w:szCs w:val="20"/>
          <w:u w:val="single" w:color="auto"/>
          <w:color w:val="auto"/>
        </w:rPr>
        <w:t>Jersey Merger Sub</w:t>
      </w:r>
      <w:r>
        <w:rPr>
          <w:rFonts w:ascii="Times New Roman" w:cs="Times New Roman" w:eastAsia="Times New Roman" w:hAnsi="Times New Roman"/>
          <w:sz w:val="20"/>
          <w:szCs w:val="20"/>
          <w:color w:val="auto"/>
        </w:rPr>
        <w:t>”).</w:t>
      </w:r>
    </w:p>
    <w:p>
      <w:pPr>
        <w:spacing w:after="0" w:line="199" w:lineRule="exact"/>
        <w:rPr>
          <w:sz w:val="24"/>
          <w:szCs w:val="24"/>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On December 10, 2025, AIR Limited issued the following press release announcing its acquisition of NameLess, a prominent German hookah brand.</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AIR Strengthens Global Footprint with Acquisition of Leading German Hookah Brand NameLess</w:t>
      </w:r>
    </w:p>
    <w:p>
      <w:pPr>
        <w:spacing w:after="0" w:line="229" w:lineRule="exact"/>
        <w:rPr>
          <w:sz w:val="24"/>
          <w:szCs w:val="24"/>
          <w:color w:val="auto"/>
        </w:rPr>
      </w:pPr>
    </w:p>
    <w:p>
      <w:pPr>
        <w:jc w:val="center"/>
        <w:ind w:left="300" w:right="339"/>
        <w:spacing w:after="0" w:line="273" w:lineRule="auto"/>
        <w:rPr>
          <w:sz w:val="20"/>
          <w:szCs w:val="20"/>
          <w:color w:val="auto"/>
        </w:rPr>
      </w:pPr>
      <w:r>
        <w:rPr>
          <w:rFonts w:ascii="Times New Roman" w:cs="Times New Roman" w:eastAsia="Times New Roman" w:hAnsi="Times New Roman"/>
          <w:sz w:val="20"/>
          <w:szCs w:val="20"/>
          <w:i w:val="1"/>
          <w:iCs w:val="1"/>
          <w:color w:val="auto"/>
        </w:rPr>
        <w:t>Acquisition represents the latest step in AIR’s global expansion efforts and follows its recently announced launch of Crown Switch, Al Fakher’s first rechargeable pod vape system</w:t>
      </w:r>
    </w:p>
    <w:p>
      <w:pPr>
        <w:spacing w:after="0" w:line="165" w:lineRule="exact"/>
        <w:rPr>
          <w:sz w:val="24"/>
          <w:szCs w:val="24"/>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DUBAI, United Arab Emirates – December 10, 2025 </w:t>
      </w:r>
      <w:r>
        <w:rPr>
          <w:rFonts w:ascii="Times New Roman" w:cs="Times New Roman" w:eastAsia="Times New Roman" w:hAnsi="Times New Roman"/>
          <w:sz w:val="20"/>
          <w:szCs w:val="20"/>
          <w:color w:val="auto"/>
        </w:rPr>
        <w:t>– AIR Limited (“AIR” or the “Company”),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global leader in hookah and pioneer in advanced inhalation technologies, announced today that it has acquired NameLess, one of Germany’s most recognized and trusted brands for premium flavored hookah products.</w:t>
      </w:r>
    </w:p>
    <w:p>
      <w:pPr>
        <w:spacing w:after="0" w:line="1" w:lineRule="exact"/>
        <w:rPr>
          <w:sz w:val="24"/>
          <w:szCs w:val="24"/>
          <w:color w:val="auto"/>
        </w:rPr>
      </w:pPr>
    </w:p>
    <w:p>
      <w:pPr>
        <w:jc w:val="both"/>
        <w:ind w:left="300" w:right="319"/>
        <w:spacing w:after="0" w:line="246" w:lineRule="auto"/>
        <w:rPr>
          <w:sz w:val="20"/>
          <w:szCs w:val="20"/>
          <w:color w:val="auto"/>
        </w:rPr>
      </w:pPr>
      <w:r>
        <w:rPr>
          <w:rFonts w:ascii="Times New Roman" w:cs="Times New Roman" w:eastAsia="Times New Roman" w:hAnsi="Times New Roman"/>
          <w:sz w:val="20"/>
          <w:szCs w:val="20"/>
          <w:color w:val="auto"/>
        </w:rPr>
        <w:t>The acquisition represents AIR’s latest step in strengthening its global leadership position in the broader flavored hookah category.</w:t>
      </w:r>
    </w:p>
    <w:p>
      <w:pPr>
        <w:spacing w:after="0" w:line="195" w:lineRule="exact"/>
        <w:rPr>
          <w:sz w:val="24"/>
          <w:szCs w:val="24"/>
          <w:color w:val="auto"/>
        </w:rPr>
      </w:pPr>
    </w:p>
    <w:p>
      <w:pPr>
        <w:jc w:val="both"/>
        <w:ind w:left="300" w:right="299"/>
        <w:spacing w:after="0" w:line="247" w:lineRule="auto"/>
        <w:rPr>
          <w:sz w:val="20"/>
          <w:szCs w:val="20"/>
          <w:color w:val="auto"/>
        </w:rPr>
      </w:pPr>
      <w:r>
        <w:rPr>
          <w:rFonts w:ascii="Times New Roman" w:cs="Times New Roman" w:eastAsia="Times New Roman" w:hAnsi="Times New Roman"/>
          <w:sz w:val="20"/>
          <w:szCs w:val="20"/>
          <w:color w:val="auto"/>
        </w:rPr>
        <w:t>As part of the AIR family, NameLess joins Al Fakher, AIR’s flagship hookah brand and the largest hookah brand by sales volume in the world, and its suite of innovative social inhalation products and flavors. AIR plans to leverage its extensive global distribution network – spanning more than 90 markets</w:t>
      </w:r>
    </w:p>
    <w:p>
      <w:pPr>
        <w:ind w:left="300" w:right="299"/>
        <w:spacing w:after="0" w:line="246" w:lineRule="auto"/>
        <w:rPr>
          <w:sz w:val="24"/>
          <w:szCs w:val="24"/>
          <w:color w:val="auto"/>
        </w:rPr>
      </w:pPr>
      <w:r>
        <w:rPr>
          <w:rFonts w:ascii="Times New Roman" w:cs="Times New Roman" w:eastAsia="Times New Roman" w:hAnsi="Times New Roman"/>
          <w:sz w:val="20"/>
          <w:szCs w:val="20"/>
          <w:color w:val="auto"/>
        </w:rPr>
        <w:t>– to introduce NameLess’ range of high-quality flavors, including Black Nana, its best-selling unique variety offering a grape-mint tobacco blend, to new audiences worldwide in the coming months.</w:t>
      </w:r>
    </w:p>
    <w:p>
      <w:pPr>
        <w:spacing w:after="0" w:line="195" w:lineRule="exact"/>
        <w:rPr>
          <w:sz w:val="24"/>
          <w:szCs w:val="24"/>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“This acquisition enables us to expand AIR’s growing product portfolio at a time when hookah consumption continues to grow globally,” said Stuart Brazier, CEO of AIR. “It also allows us to further fortify our presence in Germany, a key market for us and our global growth strategy, and to continue meeting the rising demand for reduced-risk social inhalation products with indulgent flavors. We’re grateful to welcome NameLess to the AIR family as we bring Black Nana and other tobacco flavors to the global stage in the months ahead.”</w:t>
      </w:r>
    </w:p>
    <w:p>
      <w:pPr>
        <w:spacing w:after="0" w:line="198" w:lineRule="exact"/>
        <w:rPr>
          <w:sz w:val="24"/>
          <w:szCs w:val="24"/>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AIR’s acquisition of NameLess follows on its previously announced launch of Crown Switch, the Company’s first rechargeable pod vape system with disposable pods, in Germany. Crown Switch devices contain zero ceramics or heavy metals, unlike traditional coil and wick vapes, and are designed with Greentank’s Quantum Vape™ technology, a next-gen vaporizer that provides a breakthrough flavor experience boosted by Greentank’s Coldstream™ technology.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1010920</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20"/>
          <w:szCs w:val="20"/>
          <w:b w:val="1"/>
          <w:bCs w:val="1"/>
          <w:color w:val="auto"/>
        </w:rPr>
        <w:t>Background Information on AIR’s Business Combination</w:t>
      </w:r>
    </w:p>
    <w:p>
      <w:pPr>
        <w:spacing w:after="0" w:line="233"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 xml:space="preserve">On Nov. 7, 2025, AIR and Cantor Equity Partners III, Inc. (Nasdaq: CAEP) (“CAEP”), a special purpose acquisition company sponsored by an affiliate of Cantor Fitzgerald, announced that they entered into a definitive business combination agreement for a proposed business combination (the “Proposed Business Combination”) that, upon closing, will result in the combined company </w:t>
      </w:r>
      <w:r>
        <w:rPr>
          <w:rFonts w:ascii="Times New Roman" w:cs="Times New Roman" w:eastAsia="Times New Roman" w:hAnsi="Times New Roman"/>
          <w:sz w:val="20"/>
          <w:szCs w:val="20"/>
          <w:b w:val="1"/>
          <w:bCs w:val="1"/>
          <w:color w:val="auto"/>
        </w:rPr>
        <w:t>AIR Global Limited</w:t>
      </w:r>
      <w:r>
        <w:rPr>
          <w:rFonts w:ascii="Times New Roman" w:cs="Times New Roman" w:eastAsia="Times New Roman" w:hAnsi="Times New Roman"/>
          <w:sz w:val="20"/>
          <w:szCs w:val="20"/>
          <w:color w:val="auto"/>
        </w:rPr>
        <w:t xml:space="preserve"> (“AIR Global”) becoming publicly listed on the Nasdaq in the United States under the ticker symbol “AIIR.”</w:t>
      </w:r>
    </w:p>
    <w:p>
      <w:pPr>
        <w:spacing w:after="0" w:line="198"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The transaction is expected to be completed in the first half of 2026, subject to regulatory approvals and other customary conditions.</w:t>
      </w:r>
    </w:p>
    <w:p>
      <w:pPr>
        <w:spacing w:after="0" w:line="17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Additional information about the Proposed Business Combination, including a copy of the Business Combination Agreement, are available in a Current Report on Form 8-K filed by CAEP with the SEC and available at www.sec.gov.</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About AIR</w:t>
      </w:r>
    </w:p>
    <w:p>
      <w:pPr>
        <w:spacing w:after="0" w:line="2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9"/>
          <w:szCs w:val="19"/>
          <w:color w:val="auto"/>
        </w:rPr>
        <w:t>Launched in 1999 and headquartered in Dubai, AIR is a global innovation leader in social inhalation, with a multinational presence in over 90 markets worldwide. Its portfolio of companies and assets includes Al Fakher, the world’s leading hookah brand; Hookah.com, North America’s number one B2B e-commerce platform for hookah and shisha by market share; and OOKA, highly innovative charcoal-free shisha device, among others. AIR’s science program, conducted in partnership with independent accredited laboratories, enables the development of innovative products that combine centuries of tradition with cutting-edge technology to minimize harm and maximize enjoyment for millions around the world.</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For more information, please visit https://air.global/.</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jc w:val="both"/>
        <w:ind w:left="300" w:right="319"/>
        <w:spacing w:after="0" w:line="241"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U.S. federal securities laws. These forward-looking statements generally are identified by the words “anticipate,” “believe,” “estimate,” “expect,” “forecast,” “future,” “intend,” “may,” “opportunity,” “plan,” “project,” “should,” “strategy,” “will,” “will be,” “will continue,” “will likely result,” “would” and similar expressions (including the negative versions of such words or expressions).</w:t>
      </w:r>
    </w:p>
    <w:p>
      <w:pPr>
        <w:spacing w:after="0" w:line="200"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Forward-looking statements are predictions, projections and other statements about future events that are based on current expectations and assumptions and, as a result, are subject to risks and uncertainties. All statements contained in this press release that do not relate to matters of historical fact should be considered forward-looking statements, including, without limitation, statements relating to, among other things, AIR’s plan to expand presence of NameLess’ products to new audiences, the anticipated timing and completion of the Proposed Business Combination; AIR Global’s proposed Nasdaq listing; the ability to satisfy closing conditions, obtain required shareholder and regulatory approvals, and meet applicable listing standards; the expected structure of the Proposed Business Combination and potential adjustments thereto; anticipated benefits of the Proposed Business Combination to AIR, CAEP and AIR Global; AIR’s growth strategy, market expansion plans, product innovation pipeline and commercialization efforts (including with respect to OOKA and other new technologies); partnerships and go-to-market initiatives; and market size, share and adoption trends. These statements are based on management’s current expectations. These statements are neither promises nor guarantees, but involve known and unknown risks, uncertainties and other important factors that may cause AIR Global’s or AIR’s actual results, performance or achievements to be materially different from any future results, performance or achievements expressed or implied by the forward-looking statements in this press release, including, but not limited to, the occurrence of any event, change or other circumstances that could give rise to the termination of the Proposed Business Combination (including as a result of a termination of the Business Combination Agreement and/or any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876300</wp:posOffset>
            </wp:positionV>
            <wp:extent cx="70377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 w:name="page3"/>
    <w:bookmarkEnd w:id="2"/>
    <w:p>
      <w:pPr>
        <w:jc w:val="both"/>
        <w:ind w:left="300" w:right="299"/>
        <w:spacing w:after="0"/>
        <w:rPr>
          <w:sz w:val="20"/>
          <w:szCs w:val="20"/>
          <w:color w:val="auto"/>
        </w:rPr>
      </w:pPr>
      <w:r>
        <w:rPr>
          <w:rFonts w:ascii="Times New Roman" w:cs="Times New Roman" w:eastAsia="Times New Roman" w:hAnsi="Times New Roman"/>
          <w:sz w:val="20"/>
          <w:szCs w:val="20"/>
          <w:color w:val="auto"/>
        </w:rPr>
        <w:t>agreements between the relevant parties); the outcome of any legal proceedings that may be instituted against AIR Global, CAEP or AIR, any of their subsidiaries or others following the announcement of the Proposed Business Combination; the inability to complete the Proposed Business Combination due to the failure to obtain the necessary shareholder approvals or to satisfy other conditions to closing; changes to the proposed structure of the Proposed Business Combination that may be required or appropriate as a result of applicable laws or regulations; the decision by the SEC to deem effective the Registration Statement; the ability to meet the Nasdaq Stock Market listing standards upon closing of the Proposed Business Combination and admission of AIR Global for trading on the Nasdaq Stock Market; the risk that the Proposed Business Combination disrupts current plans and operations of AIR as a result of the announcement and consummation of the Proposed Business Combination; the ability to recognize the anticipated benefits of the Proposed Business Combination, which may be affected by, among other things, competition, the ability of AIR to grow, retain its management and key employees; costs related to the Proposed Business Combination; changes in applicable laws or regulations; and other risks and uncertainties expected to be set forth in the Registration Statement. Forward-looking statements are inherently subject to risks and uncertainties, many of which AIR, CAEP and AIR Global cannot predict with accuracy and some of which neither AIR, CAEP nor AIR Global might even anticipate. The forward-looking statements contained in this press release speak only as of the date of this release. Readers are cautioned not to put undue reliance on forward-looking statements, and AIR, CAEP and AIR Global do not assume any obligation to and do not intend to publicly update any forward-looking statement to reflect events or circumstances after such date or to reflect the occurrence of unanticipated events, except as required by U.S. federal securities laws. The inclusion of any statement in this communication does not constitute an admission by CAEP, AIR or AIR Global or any other person that the events or circumstances described in such statement are material.</w:t>
      </w:r>
    </w:p>
    <w:p>
      <w:pPr>
        <w:spacing w:after="0" w:line="219"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No assurances can be made that the parties will successfully close the Proposed Business Combination or close the Proposed Business Combination on the timeframe currently contemplated. The Proposed Business Combination is subject to the filing with the SEC, and effectiveness, of the Registration Statement, as well as other regulatory approvals and customary conditions to closing.</w:t>
      </w:r>
    </w:p>
    <w:p>
      <w:pPr>
        <w:spacing w:after="0" w:line="193"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The foregoing list of risk factors is not exhaustive. You should carefully consider the foregoing factors and the other risks and uncertainties described in the “Risk Factors” section of the final prospectus of CAEP dated as of June 25, 2025 and filed by CAEP with the SEC on June 26, 2025, CAEP’s Quarterly Reports on Form 10-Q, CAEP’s Annual Report on Form 10-K and the Registration Statement that will be filed by AIR Global and AIR and the proxy statement/prospectus contained therein, and other documents filed by CAEP and AIR Global from time to time with the SEC. These filings do or will identify and address other important risks and uncertainties that could cause actual events and results to differ materially from those contained in the forward-looking statements. There may be additional risks that CAEP, AIR and AIR Global do not presently know or that CAEP, AIR and AIR Global currently believe are immaterial that could also cause actual results to differ from those contained in the forward-looking statements.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Important Information for Investors and Shareholders</w:t>
      </w:r>
    </w:p>
    <w:p>
      <w:pPr>
        <w:spacing w:after="0" w:line="233"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AIR Global and AIR intend to file the Registration Statement with the SEC, which will include a preliminary proxy statement of CAEP and a prospectus of AIR Global in connection with the Proposed Business Combination. The definitive proxy statement and other relevant documents will be mailed to shareholders of CAEP as of a record date to be established for voting on the Proposed Business Combination. SHAREHOLDERS OF CAEP AND OTHER INTERESTED PARTIES ARE URGED TO READ, WHEN AVAILABLE, THE PRELIMINARY PROXY STATEMENT, AND AMENDMENTS THERETO, AND THE DEFINITIVE PROXY STATEMENT IN CONNECTION WITH CAEP’S SOLICITATION OF PROXIES FOR THE EXTRAORDINARY GENERAL MEETING OF ITS SHAREHOLDERS TO BE HELD TO APPROVE THE PROPOSED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874395</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 w:name="page4"/>
    <w:bookmarkEnd w:id="3"/>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BECAUSE THESE DOCUMENTS WILL CONTAIN IMPORTANT INFORMATION ABOUT CAEP, AIR, AIR GLOBAL AND THE PROPOSED BUSINESS COMBINATION. Shareholders will also be able to obtain copies of the Registration Statement and the proxy statement/prospectus, without charge, once available, on the SEC’s website at www.sec.gov or by directing a request to Cantor Equity Partners III, Inc., 110 East 59th Street, New York, NY 10022, email: CantorEquityPartners@cantor.com and to AIR Global, Festival Office Tower, Dubai Festival City, 7th Floor, Dubai, United Arab Emirates, email: investor@air.global.</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Participants in the Solicitation</w:t>
      </w:r>
    </w:p>
    <w:p>
      <w:pPr>
        <w:spacing w:after="0" w:line="233"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CAEP, AIR, AIR Global and their respective directors and executive officers and certain of their shareholders may be deemed under SEC rules to be participants in the solicitation of proxies of CAEP shareholders in connection with the Proposed Business Combination. A list of the names of such persons, and information regarding their interests in the Proposed Business Combination and their ownership of CAEP’s securities are, or will be, contained in CAEP’s filings with the SEC, including CAEP’s prospectus filed on June 26, 2025. Additional information regarding the interests of the persons who may, under SEC rules, be deemed participants in the solicitation of proxies from CAEP’s shareholders in connection with the Proposed Business Combination, including the names and interests of CAEP’s, AIR Global’s and AIR’s directors and executive officers, will be set forth in the proxy statement/prospectus, which is expected to be filed by AIR Global, AIR and CAEP, as applicable, with the SEC. Investors and security holders may obtain free copies of these documents as described above.</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 Offer or Solicitation</w:t>
      </w:r>
    </w:p>
    <w:p>
      <w:pPr>
        <w:spacing w:after="0" w:line="233"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This press release and the information contained herein are for informational purposes only and shall not constitute a solicitation of a proxy, consent, or authorization with respect to any securities or in respect of the Proposed Business Combination or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Investors should consult with their counsel as to the applicable requirements for a purchaser to avail itself of any exemption under the Securities Act.</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Investor and Media Relations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ICR</w:t>
      </w:r>
    </w:p>
    <w:p>
      <w:pPr>
        <w:ind w:left="300"/>
        <w:spacing w:after="0"/>
        <w:rPr>
          <w:sz w:val="20"/>
          <w:szCs w:val="20"/>
          <w:color w:val="auto"/>
        </w:rPr>
      </w:pPr>
      <w:r>
        <w:rPr>
          <w:rFonts w:ascii="Times New Roman" w:cs="Times New Roman" w:eastAsia="Times New Roman" w:hAnsi="Times New Roman"/>
          <w:sz w:val="20"/>
          <w:szCs w:val="20"/>
          <w:color w:val="auto"/>
        </w:rPr>
        <w:t>AIRglobal@icrinc.com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1307465</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sectPr>
      <w:pgSz w:w="11900" w:h="16838" w:orient="portrait"/>
      <w:cols w:equalWidth="0" w:num="1">
        <w:col w:w="9019"/>
      </w:cols>
      <w:pgMar w:left="1440"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en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2025-12-11T05:57:37Z</dcterms:created>
  <dcterms:modified xsi:type="dcterms:W3CDTF">2025-12-11T05:57:37Z</dcterms:modified>
</cp:coreProperties>
</file>